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A019" w14:textId="77777777" w:rsidR="007453FB" w:rsidRPr="007453FB" w:rsidRDefault="007453FB" w:rsidP="007453FB">
      <w:pPr>
        <w:pStyle w:val="Heading2"/>
        <w:jc w:val="center"/>
      </w:pPr>
      <w:r>
        <w:t xml:space="preserve">FSCC State of Transformation 2025/2026: </w:t>
      </w:r>
      <w:r w:rsidRPr="007453FB">
        <w:t>Executive Summary</w:t>
      </w:r>
    </w:p>
    <w:p w14:paraId="4B2B8CF0" w14:textId="77777777" w:rsidR="007453FB" w:rsidRPr="007453FB" w:rsidRDefault="007453FB" w:rsidP="003E2C8F">
      <w:pPr>
        <w:jc w:val="both"/>
      </w:pPr>
      <w:r w:rsidRPr="007453FB">
        <w:t>The 2025 State of the Nation Address marked a renewed push for inclusive growth through initiatives like the</w:t>
      </w:r>
      <w:r w:rsidR="00AB57AD">
        <w:t xml:space="preserve"> proposed</w:t>
      </w:r>
      <w:r w:rsidRPr="007453FB">
        <w:t xml:space="preserve"> R100 billion Transformation Fund, designed to uplift black-owned SMMEs and bolster Broad-Based Black Economic Empowerment (B-BBEE)</w:t>
      </w:r>
      <w:r w:rsidR="00AB57AD">
        <w:t xml:space="preserve">. The </w:t>
      </w:r>
      <w:r>
        <w:t>p</w:t>
      </w:r>
      <w:r w:rsidRPr="007453FB">
        <w:t xml:space="preserve">arallel reforms in skills development, including the shift from </w:t>
      </w:r>
      <w:r w:rsidR="00E84BC4">
        <w:t xml:space="preserve">the </w:t>
      </w:r>
      <w:r w:rsidRPr="007453FB">
        <w:t>S</w:t>
      </w:r>
      <w:r w:rsidR="00BD5227">
        <w:t xml:space="preserve">ector </w:t>
      </w:r>
      <w:r w:rsidRPr="007453FB">
        <w:t>E</w:t>
      </w:r>
      <w:r w:rsidR="00BD5227">
        <w:t xml:space="preserve">ducation and </w:t>
      </w:r>
      <w:r w:rsidRPr="007453FB">
        <w:t>T</w:t>
      </w:r>
      <w:r w:rsidR="00BD5227">
        <w:t xml:space="preserve">raining </w:t>
      </w:r>
      <w:r w:rsidRPr="007453FB">
        <w:t>A</w:t>
      </w:r>
      <w:r w:rsidR="00BD5227">
        <w:t>uthority</w:t>
      </w:r>
      <w:r w:rsidRPr="007453FB">
        <w:t xml:space="preserve"> </w:t>
      </w:r>
      <w:r w:rsidR="00612E9C">
        <w:t xml:space="preserve">(SETA) </w:t>
      </w:r>
      <w:r w:rsidRPr="007453FB">
        <w:t xml:space="preserve">to </w:t>
      </w:r>
      <w:r w:rsidR="00E84BC4">
        <w:t xml:space="preserve">the </w:t>
      </w:r>
      <w:r w:rsidRPr="007453FB">
        <w:t>Q</w:t>
      </w:r>
      <w:r w:rsidR="00B165D9">
        <w:t xml:space="preserve">uality </w:t>
      </w:r>
      <w:r w:rsidRPr="007453FB">
        <w:t>C</w:t>
      </w:r>
      <w:r w:rsidR="00B165D9">
        <w:t xml:space="preserve">ouncil for </w:t>
      </w:r>
      <w:r w:rsidRPr="007453FB">
        <w:t>T</w:t>
      </w:r>
      <w:r w:rsidR="00B165D9">
        <w:t xml:space="preserve">rades and </w:t>
      </w:r>
      <w:r w:rsidRPr="007453FB">
        <w:t>O</w:t>
      </w:r>
      <w:r w:rsidR="00B165D9">
        <w:t>ccupation</w:t>
      </w:r>
      <w:r w:rsidR="00E84BC4">
        <w:t>s</w:t>
      </w:r>
      <w:r w:rsidRPr="007453FB">
        <w:t xml:space="preserve"> accreditation,</w:t>
      </w:r>
      <w:r w:rsidR="00AB57AD">
        <w:t xml:space="preserve"> </w:t>
      </w:r>
      <w:r w:rsidR="00E84BC4">
        <w:t>aimed at improving</w:t>
      </w:r>
      <w:r w:rsidRPr="007453FB">
        <w:t xml:space="preserve"> alignment with labour market needs.</w:t>
      </w:r>
    </w:p>
    <w:p w14:paraId="60CAB352" w14:textId="5990F69D" w:rsidR="001C35EC" w:rsidRDefault="007453FB" w:rsidP="003E2C8F">
      <w:pPr>
        <w:jc w:val="both"/>
      </w:pPr>
      <w:r w:rsidRPr="007453FB">
        <w:t xml:space="preserve">The Forest Sector Charter Council (FSCC), in its </w:t>
      </w:r>
      <w:r w:rsidR="00E84BC4" w:rsidRPr="007453FB">
        <w:t>15</w:t>
      </w:r>
      <w:r w:rsidR="00851B4E">
        <w:t>th</w:t>
      </w:r>
      <w:r w:rsidR="00E84BC4" w:rsidRPr="007453FB">
        <w:t xml:space="preserve"> </w:t>
      </w:r>
      <w:r w:rsidR="00E84BC4">
        <w:t xml:space="preserve">year </w:t>
      </w:r>
      <w:r w:rsidR="00AB57AD">
        <w:t>of existence</w:t>
      </w:r>
      <w:r w:rsidRPr="007453FB">
        <w:t xml:space="preserve">, continues to play a pivotal role in monitoring transformation by </w:t>
      </w:r>
      <w:r w:rsidRPr="007453FB">
        <w:t>compiling</w:t>
      </w:r>
      <w:r w:rsidR="00FE0C09">
        <w:t xml:space="preserve"> the</w:t>
      </w:r>
      <w:r w:rsidRPr="007453FB">
        <w:t xml:space="preserve"> B-BBEE </w:t>
      </w:r>
      <w:r w:rsidR="004976B4">
        <w:t>Annual Status of Transformation Report (Status Report)</w:t>
      </w:r>
      <w:r w:rsidRPr="007453FB">
        <w:t xml:space="preserve">. </w:t>
      </w:r>
      <w:r w:rsidR="00324369">
        <w:t>The Status Report</w:t>
      </w:r>
      <w:r w:rsidRPr="007453FB">
        <w:t xml:space="preserve"> assess</w:t>
      </w:r>
      <w:r w:rsidR="00324369">
        <w:t>es</w:t>
      </w:r>
      <w:r w:rsidRPr="007453FB">
        <w:t xml:space="preserve"> performance across key elements</w:t>
      </w:r>
      <w:r w:rsidR="00324369">
        <w:t>:</w:t>
      </w:r>
      <w:r w:rsidR="004976B4">
        <w:t xml:space="preserve"> </w:t>
      </w:r>
      <w:r w:rsidRPr="007453FB">
        <w:t>Ownership, Management Control</w:t>
      </w:r>
      <w:r>
        <w:t xml:space="preserve"> (MC)</w:t>
      </w:r>
      <w:r w:rsidRPr="007453FB">
        <w:t>, Skills Development</w:t>
      </w:r>
      <w:r>
        <w:t xml:space="preserve"> (SD)</w:t>
      </w:r>
      <w:r w:rsidRPr="007453FB">
        <w:t>, Enterprise and Supplier Development</w:t>
      </w:r>
      <w:r>
        <w:t xml:space="preserve"> (ESD)</w:t>
      </w:r>
      <w:r w:rsidRPr="007453FB">
        <w:t>, and Socio-Economic Development</w:t>
      </w:r>
      <w:r>
        <w:t xml:space="preserve"> (SED) </w:t>
      </w:r>
      <w:r w:rsidRPr="007453FB">
        <w:t>using data from entities across</w:t>
      </w:r>
      <w:r w:rsidR="00324369">
        <w:t xml:space="preserve"> the</w:t>
      </w:r>
      <w:r w:rsidRPr="007453FB">
        <w:t xml:space="preserve"> six forestry sub-sectors. </w:t>
      </w:r>
      <w:r w:rsidR="00912D01">
        <w:t xml:space="preserve">This year, </w:t>
      </w:r>
      <w:r w:rsidR="008A5DE3">
        <w:t xml:space="preserve">FSCC </w:t>
      </w:r>
      <w:r w:rsidR="00912D01">
        <w:t xml:space="preserve">announced its strategic approach </w:t>
      </w:r>
      <w:r w:rsidR="008A5DE3">
        <w:t xml:space="preserve">to further facilitate </w:t>
      </w:r>
      <w:r w:rsidR="009B15FD">
        <w:t xml:space="preserve">transformation by actively aiding companies </w:t>
      </w:r>
      <w:r w:rsidR="00772756">
        <w:t xml:space="preserve">in reaching </w:t>
      </w:r>
      <w:r w:rsidR="009B15FD">
        <w:t>their transformation targets</w:t>
      </w:r>
      <w:r w:rsidR="00912D01">
        <w:t xml:space="preserve"> rather than simply </w:t>
      </w:r>
      <w:r w:rsidR="00A4316D">
        <w:t>reporting</w:t>
      </w:r>
      <w:r w:rsidR="00B7532A">
        <w:t xml:space="preserve"> </w:t>
      </w:r>
      <w:r w:rsidR="00CD3443">
        <w:t>them. This</w:t>
      </w:r>
      <w:r w:rsidR="00A4316D">
        <w:t>,</w:t>
      </w:r>
      <w:r w:rsidR="00CD3443">
        <w:t xml:space="preserve"> FSCC hopes</w:t>
      </w:r>
      <w:r w:rsidR="00A4316D">
        <w:t>,</w:t>
      </w:r>
      <w:r w:rsidR="00AB57AD">
        <w:t xml:space="preserve"> </w:t>
      </w:r>
      <w:r w:rsidR="00CD3443">
        <w:t xml:space="preserve">will help bridge the transformation gaps currently </w:t>
      </w:r>
      <w:r w:rsidR="001121EB">
        <w:t>experienced</w:t>
      </w:r>
      <w:r w:rsidR="00CC54B3">
        <w:t>.</w:t>
      </w:r>
    </w:p>
    <w:p w14:paraId="5B4E2C5A" w14:textId="77777777" w:rsidR="00E41068" w:rsidRDefault="00E41068" w:rsidP="003E2C8F">
      <w:pPr>
        <w:pStyle w:val="Heading3"/>
        <w:jc w:val="both"/>
      </w:pPr>
      <w:r>
        <w:t>Sector Reporting</w:t>
      </w:r>
    </w:p>
    <w:p w14:paraId="6108512F" w14:textId="2951D641" w:rsidR="007453FB" w:rsidRPr="007453FB" w:rsidRDefault="007453FB" w:rsidP="003E2C8F">
      <w:pPr>
        <w:jc w:val="both"/>
      </w:pPr>
      <w:r w:rsidRPr="007453FB">
        <w:t>Despite the sector maintaining a Level 3 B-BBEE rating for a third consecutive year, the 2024/25 period witnessed a 17.3% drop in reporting, especially among Exempted Micro Enterprises (EMEs)</w:t>
      </w:r>
      <w:r w:rsidR="00861331">
        <w:t>,</w:t>
      </w:r>
      <w:r w:rsidR="008B5D32">
        <w:t xml:space="preserve"> which can be attributed to limited awareness, </w:t>
      </w:r>
      <w:r w:rsidR="00CC483E">
        <w:t>economic pressures, disillusionment with the perceived benefits of compliance</w:t>
      </w:r>
      <w:r w:rsidR="00612E9C">
        <w:t>,</w:t>
      </w:r>
      <w:r w:rsidR="00CC483E">
        <w:t xml:space="preserve"> business closures</w:t>
      </w:r>
      <w:r w:rsidR="00AB57AD">
        <w:t xml:space="preserve"> and sometimes merging of businesses</w:t>
      </w:r>
      <w:r w:rsidR="00CC483E">
        <w:t xml:space="preserve">. These findings underline the </w:t>
      </w:r>
      <w:r w:rsidR="00E41068">
        <w:t>need for targeted awareness campaigns, a simplified compliance process and greater support.</w:t>
      </w:r>
      <w:r w:rsidR="00CB2F6A">
        <w:t xml:space="preserve"> </w:t>
      </w:r>
      <w:r w:rsidR="00851B4E">
        <w:t>A</w:t>
      </w:r>
      <w:r w:rsidR="00CB2F6A">
        <w:t>t a sub-sector level</w:t>
      </w:r>
      <w:r w:rsidR="001121EB">
        <w:t>,</w:t>
      </w:r>
      <w:r w:rsidR="00CB2F6A">
        <w:t xml:space="preserve"> </w:t>
      </w:r>
      <w:r w:rsidR="00851B4E">
        <w:t xml:space="preserve">reporting </w:t>
      </w:r>
      <w:r w:rsidR="00CB2F6A">
        <w:t>varies, with contractors</w:t>
      </w:r>
      <w:r w:rsidR="00DC1C33">
        <w:t xml:space="preserve"> (56%)</w:t>
      </w:r>
      <w:r w:rsidR="00CB2F6A">
        <w:t xml:space="preserve"> and growers</w:t>
      </w:r>
      <w:r w:rsidR="00DC1C33">
        <w:t xml:space="preserve"> (23%)</w:t>
      </w:r>
      <w:r w:rsidR="00CB2F6A">
        <w:t xml:space="preserve"> dominating</w:t>
      </w:r>
      <w:r w:rsidR="00DC1C33">
        <w:t xml:space="preserve"> submissions</w:t>
      </w:r>
      <w:r w:rsidR="005A1471">
        <w:t>.</w:t>
      </w:r>
      <w:r w:rsidR="006F0551">
        <w:t xml:space="preserve"> </w:t>
      </w:r>
      <w:r w:rsidR="00851B4E">
        <w:t>I</w:t>
      </w:r>
      <w:r w:rsidR="006F0551">
        <w:t>t should</w:t>
      </w:r>
      <w:r w:rsidR="00851B4E">
        <w:t>, however,</w:t>
      </w:r>
      <w:r w:rsidR="006F0551">
        <w:t xml:space="preserve"> be noted that reporting still falls short of reflecting the true number of </w:t>
      </w:r>
      <w:r w:rsidR="005A1471">
        <w:t xml:space="preserve">businesses </w:t>
      </w:r>
      <w:r w:rsidR="006F0551">
        <w:t>active in the sector.</w:t>
      </w:r>
      <w:r w:rsidR="000206F3">
        <w:t xml:space="preserve"> FSCC will be collaborating closely with sub-sector associations to address this issue</w:t>
      </w:r>
      <w:r w:rsidR="00DC1C33">
        <w:t>.</w:t>
      </w:r>
      <w:r w:rsidR="00FE22BD">
        <w:t xml:space="preserve"> </w:t>
      </w:r>
    </w:p>
    <w:p w14:paraId="171F65C6" w14:textId="7C9CDA7A" w:rsidR="007453FB" w:rsidRPr="007453FB" w:rsidRDefault="007453FB" w:rsidP="003E2C8F">
      <w:pPr>
        <w:pStyle w:val="Heading3"/>
        <w:jc w:val="both"/>
      </w:pPr>
      <w:r w:rsidRPr="007453FB">
        <w:t>M</w:t>
      </w:r>
      <w:r w:rsidR="001121EB">
        <w:t xml:space="preserve">edium and </w:t>
      </w:r>
      <w:r w:rsidRPr="007453FB">
        <w:t>L</w:t>
      </w:r>
      <w:r w:rsidR="001121EB">
        <w:t xml:space="preserve">arge </w:t>
      </w:r>
      <w:r w:rsidRPr="007453FB">
        <w:t>E</w:t>
      </w:r>
      <w:r w:rsidR="001121EB">
        <w:t>nterprises (MLEs)</w:t>
      </w:r>
      <w:r w:rsidRPr="007453FB">
        <w:t xml:space="preserve"> </w:t>
      </w:r>
      <w:r w:rsidR="00FE22BD">
        <w:t>Analysis</w:t>
      </w:r>
    </w:p>
    <w:p w14:paraId="2A900D69" w14:textId="77777777" w:rsidR="007453FB" w:rsidRPr="007453FB" w:rsidRDefault="00FE22BD" w:rsidP="003E2C8F">
      <w:pPr>
        <w:jc w:val="both"/>
      </w:pPr>
      <w:r w:rsidRPr="00CF71F7">
        <w:t>MLEs,</w:t>
      </w:r>
      <w:r w:rsidR="007453FB" w:rsidRPr="00CF71F7">
        <w:t xml:space="preserve"> or “Generic Entities”, with annual turnovers exceeding R50 million, are instrumental in driving transformation in South Africa’s forestry sector</w:t>
      </w:r>
      <w:r w:rsidR="00040C89" w:rsidRPr="00CF71F7">
        <w:t xml:space="preserve">, with </w:t>
      </w:r>
      <w:r w:rsidR="003B66C6" w:rsidRPr="00CF71F7">
        <w:t>38 v</w:t>
      </w:r>
      <w:r w:rsidR="007453FB" w:rsidRPr="00CF71F7">
        <w:t xml:space="preserve">erified B-BBEE scorecards submitted </w:t>
      </w:r>
      <w:r w:rsidR="003B66C6" w:rsidRPr="00CF71F7">
        <w:t xml:space="preserve">during </w:t>
      </w:r>
      <w:r w:rsidR="00D91CCD" w:rsidRPr="00CF71F7">
        <w:t xml:space="preserve">the </w:t>
      </w:r>
      <w:r w:rsidR="003B66C6" w:rsidRPr="00CF71F7">
        <w:t>2024/25 reporting period (</w:t>
      </w:r>
      <w:r w:rsidR="007453FB" w:rsidRPr="00CF71F7">
        <w:t>a three-year high</w:t>
      </w:r>
      <w:r w:rsidR="003B66C6" w:rsidRPr="00CF71F7">
        <w:t>)</w:t>
      </w:r>
      <w:r w:rsidR="007453FB" w:rsidRPr="00CF71F7">
        <w:t>.</w:t>
      </w:r>
      <w:r w:rsidR="00EC1B82" w:rsidRPr="00CF71F7">
        <w:t xml:space="preserve"> </w:t>
      </w:r>
      <w:r w:rsidR="007453FB" w:rsidRPr="00CF71F7">
        <w:t xml:space="preserve">Fibre-related enterprises </w:t>
      </w:r>
      <w:r w:rsidR="00EC1B82" w:rsidRPr="00CF71F7">
        <w:t xml:space="preserve">unsurprisingly </w:t>
      </w:r>
      <w:r w:rsidR="007453FB" w:rsidRPr="00CF71F7">
        <w:t>accounted for the highest number of submissions,</w:t>
      </w:r>
      <w:r w:rsidR="00EC1B82" w:rsidRPr="00CF71F7">
        <w:t xml:space="preserve"> as many of the vertically integrated businesses submit under the Fibre subsector.</w:t>
      </w:r>
      <w:r w:rsidR="007453FB" w:rsidRPr="00CF71F7">
        <w:t xml:space="preserve"> Charcoal Producers remained the least represented.</w:t>
      </w:r>
    </w:p>
    <w:p w14:paraId="735F3CA0" w14:textId="77777777" w:rsidR="007453FB" w:rsidRPr="007453FB" w:rsidRDefault="007453FB" w:rsidP="003E2C8F">
      <w:pPr>
        <w:pStyle w:val="Heading4"/>
        <w:jc w:val="both"/>
      </w:pPr>
      <w:r w:rsidRPr="007453FB">
        <w:t xml:space="preserve">Ownership </w:t>
      </w:r>
    </w:p>
    <w:p w14:paraId="27A5AAE8" w14:textId="77777777" w:rsidR="007453FB" w:rsidRPr="007453FB" w:rsidRDefault="007453FB" w:rsidP="003E2C8F">
      <w:pPr>
        <w:jc w:val="both"/>
      </w:pPr>
      <w:r w:rsidRPr="007453FB">
        <w:t>Ownership performance, a 25-point priority B-BBEE element, improved modestly in 2024/25. Sector-wide compliance rose to 76%</w:t>
      </w:r>
      <w:r w:rsidR="00C40230">
        <w:t xml:space="preserve"> (from </w:t>
      </w:r>
      <w:r w:rsidR="005A7D69">
        <w:t>72%)</w:t>
      </w:r>
      <w:r w:rsidRPr="007453FB">
        <w:t>, with an average black ownership score of 41%, surpassing the 30% target. However, black women ownership (18%) and black designated group ownership (13%) remained well below target levels</w:t>
      </w:r>
      <w:r w:rsidR="005A7D69">
        <w:t>, with black ownership decreasing by 8.9% from the previous year</w:t>
      </w:r>
      <w:r w:rsidRPr="007453FB">
        <w:t>.</w:t>
      </w:r>
    </w:p>
    <w:p w14:paraId="199A4599" w14:textId="77777777" w:rsidR="007453FB" w:rsidRPr="007453FB" w:rsidRDefault="007453FB" w:rsidP="003E2C8F">
      <w:pPr>
        <w:jc w:val="both"/>
      </w:pPr>
      <w:r w:rsidRPr="007453FB">
        <w:t>Sub-sectors such as Fibre, Growers, and Contractors led in ownership transformation</w:t>
      </w:r>
      <w:r w:rsidR="00AB57AD">
        <w:t xml:space="preserve"> scores</w:t>
      </w:r>
      <w:r w:rsidRPr="007453FB">
        <w:t xml:space="preserve">, while Charcoal Producers again showed no measurable progress. Voting rights </w:t>
      </w:r>
      <w:r w:rsidR="00171543">
        <w:t>and</w:t>
      </w:r>
      <w:r w:rsidRPr="007453FB">
        <w:t xml:space="preserve"> economic interest indicators</w:t>
      </w:r>
      <w:r w:rsidR="001B1CCA">
        <w:t xml:space="preserve"> </w:t>
      </w:r>
      <w:r w:rsidRPr="007453FB">
        <w:t xml:space="preserve">followed a similar pattern, with </w:t>
      </w:r>
      <w:proofErr w:type="gramStart"/>
      <w:r w:rsidR="002461D9">
        <w:t>the majority of</w:t>
      </w:r>
      <w:proofErr w:type="gramEnd"/>
      <w:r w:rsidR="002461D9">
        <w:t xml:space="preserve"> sub-sectors meeting or </w:t>
      </w:r>
      <w:r w:rsidR="002461D9">
        <w:lastRenderedPageBreak/>
        <w:t>exceeding compliance targets (</w:t>
      </w:r>
      <w:r w:rsidR="0006300C">
        <w:t xml:space="preserve">voting rights: </w:t>
      </w:r>
      <w:r w:rsidR="002461D9">
        <w:t xml:space="preserve">25% </w:t>
      </w:r>
      <w:r w:rsidR="0006300C">
        <w:t>black people, 10% black women and 25% economic interest</w:t>
      </w:r>
      <w:r w:rsidR="00F60CBE">
        <w:t xml:space="preserve"> for black people</w:t>
      </w:r>
      <w:r w:rsidR="0006300C">
        <w:t>)</w:t>
      </w:r>
      <w:r w:rsidRPr="007453FB">
        <w:t xml:space="preserve">. Notably, black economic interest among new entrants and </w:t>
      </w:r>
      <w:r w:rsidR="00FE22BD">
        <w:t>black designated group ownership</w:t>
      </w:r>
      <w:r w:rsidRPr="007453FB">
        <w:t xml:space="preserve"> remained uneven.</w:t>
      </w:r>
    </w:p>
    <w:p w14:paraId="4E6CC4B7" w14:textId="10A5361B" w:rsidR="007453FB" w:rsidRPr="007453FB" w:rsidRDefault="007453FB" w:rsidP="003E2C8F">
      <w:pPr>
        <w:jc w:val="both"/>
      </w:pPr>
      <w:r w:rsidRPr="007453FB">
        <w:t>Most MLEs applied the Flow-Through Principle, demonstrating alignment with regulatory expectations.</w:t>
      </w:r>
      <w:r w:rsidR="0098630B">
        <w:t xml:space="preserve"> There are</w:t>
      </w:r>
      <w:r w:rsidR="00CF71F7">
        <w:t>,</w:t>
      </w:r>
      <w:r w:rsidR="0098630B">
        <w:t xml:space="preserve"> however</w:t>
      </w:r>
      <w:r w:rsidR="00CF71F7">
        <w:t>,</w:t>
      </w:r>
      <w:r w:rsidR="0098630B">
        <w:t xml:space="preserve"> still some companies </w:t>
      </w:r>
      <w:r w:rsidR="00CF71F7">
        <w:t xml:space="preserve">that </w:t>
      </w:r>
      <w:r w:rsidR="0098630B">
        <w:t>achieve</w:t>
      </w:r>
      <w:r w:rsidR="00CF71F7">
        <w:t xml:space="preserve">d </w:t>
      </w:r>
      <w:r w:rsidR="0098630B">
        <w:t>p</w:t>
      </w:r>
      <w:r w:rsidRPr="007453FB">
        <w:t xml:space="preserve">oor </w:t>
      </w:r>
      <w:r w:rsidR="00CF71F7" w:rsidRPr="007453FB">
        <w:t>scores</w:t>
      </w:r>
      <w:r w:rsidR="00CF71F7">
        <w:t xml:space="preserve"> on the </w:t>
      </w:r>
      <w:r w:rsidRPr="007453FB">
        <w:t xml:space="preserve">Net Value </w:t>
      </w:r>
      <w:r w:rsidR="000914CA">
        <w:t>indicator</w:t>
      </w:r>
      <w:r w:rsidR="0098630B">
        <w:t xml:space="preserve"> and ultimately </w:t>
      </w:r>
      <w:r w:rsidR="001121EB">
        <w:t>have been</w:t>
      </w:r>
      <w:r w:rsidR="0098630B">
        <w:t xml:space="preserve"> discounted and downgraded as a result. </w:t>
      </w:r>
    </w:p>
    <w:p w14:paraId="3DC37AEB" w14:textId="77777777" w:rsidR="007453FB" w:rsidRPr="007453FB" w:rsidRDefault="007453FB" w:rsidP="003E2C8F">
      <w:pPr>
        <w:pStyle w:val="Heading4"/>
        <w:jc w:val="both"/>
      </w:pPr>
      <w:r w:rsidRPr="007453FB">
        <w:t>Management Control</w:t>
      </w:r>
      <w:r w:rsidR="00F13522">
        <w:t xml:space="preserve"> (MC)</w:t>
      </w:r>
    </w:p>
    <w:p w14:paraId="0F4F6C6E" w14:textId="77777777" w:rsidR="007453FB" w:rsidRPr="007453FB" w:rsidRDefault="00FE22BD" w:rsidP="003E2C8F">
      <w:pPr>
        <w:jc w:val="both"/>
      </w:pPr>
      <w:r>
        <w:t>MC</w:t>
      </w:r>
      <w:r w:rsidR="007453FB" w:rsidRPr="007453FB">
        <w:t xml:space="preserve"> remains a persistent challenge for MLEs, with overall sectoral compliance stagnating around 50%. Charcoal Producers repeatedly underperformed, scoring 0% across several indicators</w:t>
      </w:r>
      <w:r>
        <w:t>, w</w:t>
      </w:r>
      <w:r w:rsidR="007453FB" w:rsidRPr="007453FB">
        <w:t xml:space="preserve">hile Contracting and Fibre led in black board representation, </w:t>
      </w:r>
      <w:r w:rsidR="006B2948">
        <w:t xml:space="preserve">however, </w:t>
      </w:r>
      <w:r w:rsidR="007453FB" w:rsidRPr="007453FB">
        <w:t>black women continue to be underrepresented at all decision-making levels.</w:t>
      </w:r>
    </w:p>
    <w:p w14:paraId="74FF7061" w14:textId="4B2BE9BE" w:rsidR="007453FB" w:rsidRPr="007453FB" w:rsidRDefault="007453FB" w:rsidP="003E2C8F">
      <w:pPr>
        <w:jc w:val="both"/>
      </w:pPr>
      <w:r w:rsidRPr="007453FB">
        <w:t xml:space="preserve">Executive and senior leadership saw uneven transformation. Contractors and Fibre exceeded targets for black executive directors and female executives, but </w:t>
      </w:r>
      <w:r w:rsidR="001D21D3">
        <w:t>in general</w:t>
      </w:r>
      <w:r w:rsidR="000A1107">
        <w:t>,</w:t>
      </w:r>
      <w:r w:rsidR="001D21D3">
        <w:t xml:space="preserve"> </w:t>
      </w:r>
      <w:r w:rsidRPr="007453FB">
        <w:t xml:space="preserve">middle and senior management representation remained below expectations across all sub-sectors. </w:t>
      </w:r>
      <w:r w:rsidR="002E6F1D">
        <w:t>Junior management representation was more encouraging</w:t>
      </w:r>
      <w:r w:rsidRPr="007453FB">
        <w:t>,</w:t>
      </w:r>
      <w:r w:rsidR="008C3F18">
        <w:t xml:space="preserve"> as were</w:t>
      </w:r>
      <w:r w:rsidRPr="007453FB">
        <w:t xml:space="preserve"> targets for employing people with disabilities</w:t>
      </w:r>
      <w:r w:rsidR="008C3F18">
        <w:t>, which were</w:t>
      </w:r>
      <w:r w:rsidRPr="007453FB">
        <w:t xml:space="preserve"> met or exceeded</w:t>
      </w:r>
      <w:r w:rsidR="008C3F18">
        <w:t xml:space="preserve"> by all</w:t>
      </w:r>
      <w:r w:rsidRPr="007453FB">
        <w:t xml:space="preserve"> except Charcoal Producers.</w:t>
      </w:r>
    </w:p>
    <w:p w14:paraId="068730D4" w14:textId="77777777" w:rsidR="007453FB" w:rsidRPr="007453FB" w:rsidRDefault="007453FB" w:rsidP="003E2C8F">
      <w:pPr>
        <w:jc w:val="both"/>
      </w:pPr>
      <w:r w:rsidRPr="007453FB">
        <w:t>These trends underscore the need for intentional diversity and inclusion strategies, including targeted mentorship, succession planning, and career pathways</w:t>
      </w:r>
      <w:r w:rsidR="00FE22BD">
        <w:t xml:space="preserve"> - </w:t>
      </w:r>
      <w:r w:rsidRPr="007453FB">
        <w:t>particularly for black women in leadership roles. Initiatives such as "She is Forestry SA" could play a vital role in building leadership pipelines.</w:t>
      </w:r>
      <w:r w:rsidR="00D81468">
        <w:t xml:space="preserve"> The persistent underperformance by Charcoal Producers across all indicators is</w:t>
      </w:r>
      <w:r w:rsidR="00AB57AD">
        <w:t xml:space="preserve"> discouraging</w:t>
      </w:r>
      <w:r w:rsidR="00D81468">
        <w:t xml:space="preserve"> and something which needs addressing.</w:t>
      </w:r>
    </w:p>
    <w:p w14:paraId="0B68E499" w14:textId="77777777" w:rsidR="007453FB" w:rsidRPr="007453FB" w:rsidRDefault="007453FB" w:rsidP="003E2C8F">
      <w:pPr>
        <w:pStyle w:val="Heading4"/>
        <w:jc w:val="both"/>
      </w:pPr>
      <w:r w:rsidRPr="007453FB">
        <w:t>Skills Development</w:t>
      </w:r>
      <w:r w:rsidR="00F13522">
        <w:t xml:space="preserve"> (SD)</w:t>
      </w:r>
    </w:p>
    <w:p w14:paraId="5216822B" w14:textId="77777777" w:rsidR="007453FB" w:rsidRPr="007453FB" w:rsidRDefault="00FE22BD" w:rsidP="003E2C8F">
      <w:pPr>
        <w:jc w:val="both"/>
      </w:pPr>
      <w:r>
        <w:t>SD</w:t>
      </w:r>
      <w:r w:rsidR="00F4793F">
        <w:t xml:space="preserve"> is</w:t>
      </w:r>
      <w:r w:rsidR="007453FB" w:rsidRPr="007453FB">
        <w:t xml:space="preserve"> a critical transformation driver</w:t>
      </w:r>
      <w:r w:rsidR="00F4793F">
        <w:t>, that</w:t>
      </w:r>
      <w:r w:rsidR="00F13522">
        <w:t xml:space="preserve"> has a cascading effect </w:t>
      </w:r>
      <w:r w:rsidR="000A1107">
        <w:t xml:space="preserve">on </w:t>
      </w:r>
      <w:r w:rsidR="00F13522">
        <w:t>other elements</w:t>
      </w:r>
      <w:r w:rsidR="007453FB" w:rsidRPr="007453FB">
        <w:t>, saw compliance decline to 6</w:t>
      </w:r>
      <w:r w:rsidR="00EC4138">
        <w:t>3</w:t>
      </w:r>
      <w:r w:rsidR="007453FB" w:rsidRPr="007453FB">
        <w:t>% in 2024/25</w:t>
      </w:r>
      <w:r w:rsidR="00F4793F">
        <w:t xml:space="preserve"> -</w:t>
      </w:r>
      <w:r>
        <w:t xml:space="preserve"> </w:t>
      </w:r>
      <w:r w:rsidR="007453FB" w:rsidRPr="007453FB">
        <w:t>the lowest in three years. This drop is concerning given</w:t>
      </w:r>
      <w:r w:rsidR="00F13522">
        <w:t xml:space="preserve"> the</w:t>
      </w:r>
      <w:r w:rsidR="007453FB" w:rsidRPr="007453FB">
        <w:t xml:space="preserve"> rising youth unemployment (now at 46.1%). Fibre, Pole Producers, and Contractors led SD efforts, while Charcoal Producers once again performed poorly.</w:t>
      </w:r>
    </w:p>
    <w:p w14:paraId="448C9B7D" w14:textId="481BC558" w:rsidR="007453FB" w:rsidRPr="007453FB" w:rsidRDefault="007453FB" w:rsidP="003E2C8F">
      <w:pPr>
        <w:jc w:val="both"/>
      </w:pPr>
      <w:r w:rsidRPr="007453FB">
        <w:t>While some sub-sectors made progress in Learnerships, Apprenticeships, and Internships (LAIs), absorption into permanent employment remained</w:t>
      </w:r>
      <w:r w:rsidR="00F13522">
        <w:t xml:space="preserve"> very low</w:t>
      </w:r>
      <w:r w:rsidRPr="007453FB">
        <w:t xml:space="preserve">. No sub-sector met the absorption target, revealing a gap between training and employability. </w:t>
      </w:r>
      <w:r w:rsidR="00F4793F">
        <w:t>Illustrated by</w:t>
      </w:r>
      <w:r w:rsidR="00F4793F" w:rsidRPr="007453FB">
        <w:t xml:space="preserve"> </w:t>
      </w:r>
      <w:r w:rsidRPr="007453FB">
        <w:t xml:space="preserve">only six of 119 recent forestry graduates </w:t>
      </w:r>
      <w:r w:rsidR="00F4793F">
        <w:t xml:space="preserve">being </w:t>
      </w:r>
      <w:r w:rsidRPr="007453FB">
        <w:t xml:space="preserve">employed, </w:t>
      </w:r>
      <w:r w:rsidR="00F4793F">
        <w:t xml:space="preserve">highlighting the </w:t>
      </w:r>
      <w:r w:rsidR="000E57F6">
        <w:t xml:space="preserve">urgent </w:t>
      </w:r>
      <w:r w:rsidR="00F4793F">
        <w:t xml:space="preserve">need for </w:t>
      </w:r>
      <w:r w:rsidRPr="007453FB">
        <w:t>targeted pathways into employment.</w:t>
      </w:r>
    </w:p>
    <w:p w14:paraId="6135EB84" w14:textId="26E0B694" w:rsidR="007453FB" w:rsidRPr="007453FB" w:rsidRDefault="00FE22BD" w:rsidP="003E2C8F">
      <w:pPr>
        <w:jc w:val="both"/>
      </w:pPr>
      <w:r>
        <w:t>FSA’s</w:t>
      </w:r>
      <w:r w:rsidR="007453FB" w:rsidRPr="007453FB">
        <w:t xml:space="preserve"> Forestry Graduate Employment Programme (F-GEP) and Forest21 are promising</w:t>
      </w:r>
      <w:r w:rsidR="00C35168">
        <w:t xml:space="preserve"> initiatives</w:t>
      </w:r>
      <w:r w:rsidR="007453FB" w:rsidRPr="007453FB">
        <w:t>, offering structured routes into employment and promoting entrepreneurship. However, uptake remains limited, and further integration of such programmes is required for systemic impact.</w:t>
      </w:r>
      <w:r w:rsidR="00B75A02">
        <w:t xml:space="preserve"> Moving forward, the sector needs to strengthen partnerships </w:t>
      </w:r>
      <w:r w:rsidR="00C102E5">
        <w:t xml:space="preserve">with </w:t>
      </w:r>
      <w:r w:rsidR="00377922" w:rsidRPr="00377922">
        <w:t>SETAs</w:t>
      </w:r>
      <w:r w:rsidR="005E740B">
        <w:t>, increase support of LAIs and prioritise absorption into permanent roles with inclusive strategies</w:t>
      </w:r>
      <w:r w:rsidR="00DE6C48">
        <w:t xml:space="preserve"> developed to support black women and people with disabilities.</w:t>
      </w:r>
    </w:p>
    <w:p w14:paraId="6C991060" w14:textId="77777777" w:rsidR="007453FB" w:rsidRPr="007453FB" w:rsidRDefault="007453FB" w:rsidP="003E2C8F">
      <w:pPr>
        <w:pStyle w:val="Heading4"/>
        <w:jc w:val="both"/>
      </w:pPr>
      <w:r w:rsidRPr="007453FB">
        <w:t>Enterprise and Supplier Development</w:t>
      </w:r>
      <w:r w:rsidR="00F13522">
        <w:t xml:space="preserve"> (ESD)</w:t>
      </w:r>
    </w:p>
    <w:p w14:paraId="47162285" w14:textId="77777777" w:rsidR="007453FB" w:rsidRPr="007453FB" w:rsidRDefault="007453FB" w:rsidP="003E2C8F">
      <w:pPr>
        <w:jc w:val="both"/>
      </w:pPr>
      <w:r w:rsidRPr="007453FB">
        <w:t>ESD, historically a high-performing B-BBEE element, showed a concerning decline</w:t>
      </w:r>
      <w:r w:rsidR="00FE22BD">
        <w:t xml:space="preserve"> </w:t>
      </w:r>
      <w:r w:rsidRPr="007453FB">
        <w:t xml:space="preserve">from 91% in 2023/24 to 84% in 2024/25. While all sub-sectors demonstrated reasonable support for black-owned SMMEs, none fully met all ESD targets. Fibre and Charcoal led overall scores, while </w:t>
      </w:r>
      <w:proofErr w:type="gramStart"/>
      <w:r w:rsidRPr="007453FB">
        <w:t>Sawmilling</w:t>
      </w:r>
      <w:proofErr w:type="gramEnd"/>
      <w:r w:rsidRPr="007453FB">
        <w:t xml:space="preserve"> trailed.</w:t>
      </w:r>
    </w:p>
    <w:p w14:paraId="373714AB" w14:textId="1D7B7A2C" w:rsidR="007453FB" w:rsidRPr="007453FB" w:rsidRDefault="007453FB" w:rsidP="003E2C8F">
      <w:pPr>
        <w:jc w:val="both"/>
      </w:pPr>
      <w:r w:rsidRPr="007453FB">
        <w:lastRenderedPageBreak/>
        <w:t>Strong performance</w:t>
      </w:r>
      <w:r w:rsidR="00C102E5">
        <w:t>s</w:t>
      </w:r>
      <w:r w:rsidRPr="007453FB">
        <w:t xml:space="preserve"> </w:t>
      </w:r>
      <w:r w:rsidR="00C102E5">
        <w:t>were</w:t>
      </w:r>
      <w:r w:rsidRPr="007453FB">
        <w:t xml:space="preserve"> recorded in procurement from black-owned suppliers and EMEs, particularly by Contractors. However, procurement from black women-owned suppliers and small businesses revealed mixed results, </w:t>
      </w:r>
      <w:r w:rsidR="00FE22BD">
        <w:t>with</w:t>
      </w:r>
      <w:r w:rsidRPr="007453FB">
        <w:t xml:space="preserve"> Sawmilling consistently underperform</w:t>
      </w:r>
      <w:r w:rsidR="00FE22BD">
        <w:t>ing</w:t>
      </w:r>
      <w:r w:rsidRPr="007453FB">
        <w:t>.</w:t>
      </w:r>
    </w:p>
    <w:p w14:paraId="5720C17B" w14:textId="77777777" w:rsidR="007453FB" w:rsidRPr="007453FB" w:rsidRDefault="007453FB" w:rsidP="003E2C8F">
      <w:pPr>
        <w:jc w:val="both"/>
      </w:pPr>
      <w:r w:rsidRPr="007453FB">
        <w:t>Supplier Development contributions</w:t>
      </w:r>
      <w:r w:rsidR="00F13522">
        <w:t xml:space="preserve"> by MLEs</w:t>
      </w:r>
      <w:r w:rsidRPr="007453FB">
        <w:t xml:space="preserve"> generally exceeded the 2% Net Profit After Tax (NPAT) target, with Charcoal leading, while Enterprise Development targets were met across all sub-sectors. Nonetheless, </w:t>
      </w:r>
      <w:r w:rsidR="0098630B">
        <w:t xml:space="preserve">the sawmilling sector </w:t>
      </w:r>
      <w:r w:rsidR="00467191">
        <w:t>(</w:t>
      </w:r>
      <w:r w:rsidR="0098630B">
        <w:t>which often lacks vertical integration</w:t>
      </w:r>
      <w:r w:rsidR="00467191">
        <w:t>)</w:t>
      </w:r>
      <w:r w:rsidR="0098630B">
        <w:t xml:space="preserve"> continues to score poorly due to the limited opportunities for these companies to put in place </w:t>
      </w:r>
      <w:r w:rsidRPr="007453FB">
        <w:t>QSEs/EMEs co-investment mechanisms</w:t>
      </w:r>
      <w:r w:rsidR="00FE22BD">
        <w:t>.</w:t>
      </w:r>
    </w:p>
    <w:p w14:paraId="1EAB71F7" w14:textId="686C9667" w:rsidR="007453FB" w:rsidRPr="007453FB" w:rsidRDefault="007453FB" w:rsidP="003E2C8F">
      <w:pPr>
        <w:pStyle w:val="Heading4"/>
        <w:jc w:val="both"/>
      </w:pPr>
      <w:r w:rsidRPr="007453FB">
        <w:t>Socio-Economic Development</w:t>
      </w:r>
      <w:r w:rsidR="00C102E5">
        <w:t xml:space="preserve"> (SED)</w:t>
      </w:r>
    </w:p>
    <w:p w14:paraId="323FC1E2" w14:textId="77777777" w:rsidR="007453FB" w:rsidRPr="007453FB" w:rsidRDefault="00544E24" w:rsidP="003E2C8F">
      <w:pPr>
        <w:jc w:val="both"/>
      </w:pPr>
      <w:r>
        <w:t>SED</w:t>
      </w:r>
      <w:r w:rsidR="007453FB" w:rsidRPr="007453FB">
        <w:t xml:space="preserve"> performance remained a highlight for the sector, with MLEs averaging 140% of the compliance target. All sub-sectors exceeded the required 1% NPAT spend, reaffirming the sector’s role in uplifting rural communities. Charcoal Producers also showe</w:t>
      </w:r>
      <w:r w:rsidR="00D80BEE">
        <w:t xml:space="preserve">d </w:t>
      </w:r>
      <w:r w:rsidR="00F13522">
        <w:t xml:space="preserve">exceptional </w:t>
      </w:r>
      <w:r w:rsidR="007453FB" w:rsidRPr="007453FB">
        <w:t>performance in this area, despite broader compliance failures.</w:t>
      </w:r>
    </w:p>
    <w:p w14:paraId="52FDDAEF" w14:textId="77777777" w:rsidR="007453FB" w:rsidRPr="007453FB" w:rsidRDefault="007453FB" w:rsidP="003E2C8F">
      <w:pPr>
        <w:jc w:val="both"/>
      </w:pPr>
      <w:r w:rsidRPr="007453FB">
        <w:t>While SED is robust, a more integrated transformation approach is needed</w:t>
      </w:r>
      <w:r w:rsidR="00377922">
        <w:t>,</w:t>
      </w:r>
      <w:r w:rsidR="00F4793F">
        <w:t xml:space="preserve"> </w:t>
      </w:r>
      <w:r w:rsidRPr="007453FB">
        <w:t xml:space="preserve">linking SED investments to SD, ESD, and enterprise pathways to amplify impact. High-potential interventions already exist </w:t>
      </w:r>
      <w:r w:rsidR="00F13522">
        <w:t>and will</w:t>
      </w:r>
      <w:r w:rsidRPr="007453FB">
        <w:t xml:space="preserve"> require scaling and better coordination.</w:t>
      </w:r>
    </w:p>
    <w:p w14:paraId="6FC4E8E0" w14:textId="77777777" w:rsidR="007453FB" w:rsidRPr="007453FB" w:rsidRDefault="007453FB" w:rsidP="003E2C8F">
      <w:pPr>
        <w:pStyle w:val="Heading4"/>
        <w:jc w:val="both"/>
      </w:pPr>
      <w:r w:rsidRPr="007453FB">
        <w:t>State and Listed Entities</w:t>
      </w:r>
    </w:p>
    <w:p w14:paraId="7026C259" w14:textId="77777777" w:rsidR="007453FB" w:rsidRPr="007453FB" w:rsidRDefault="007453FB" w:rsidP="003E2C8F">
      <w:pPr>
        <w:jc w:val="both"/>
      </w:pPr>
      <w:r w:rsidRPr="007453FB">
        <w:t xml:space="preserve">Forestry companies listed on the Johannesburg Stock Exchange (JSE) continued to achieve </w:t>
      </w:r>
      <w:r w:rsidR="00377922">
        <w:t xml:space="preserve">remarkable </w:t>
      </w:r>
      <w:r w:rsidR="00377922" w:rsidRPr="007453FB">
        <w:t>B</w:t>
      </w:r>
      <w:r w:rsidRPr="007453FB">
        <w:t>-BBEE ratings</w:t>
      </w:r>
      <w:r w:rsidR="00377922">
        <w:t>,</w:t>
      </w:r>
      <w:r w:rsidR="00F4793F">
        <w:t xml:space="preserve"> </w:t>
      </w:r>
      <w:r w:rsidR="00377922">
        <w:t xml:space="preserve">with </w:t>
      </w:r>
      <w:r w:rsidRPr="007453FB">
        <w:t>three maintaining Level 1. However, only one met the Ownership element fully</w:t>
      </w:r>
      <w:r w:rsidR="00330E9E">
        <w:t xml:space="preserve"> and</w:t>
      </w:r>
      <w:r w:rsidRPr="007453FB">
        <w:t xml:space="preserve"> MC showed </w:t>
      </w:r>
      <w:r w:rsidR="00330E9E">
        <w:t xml:space="preserve">only </w:t>
      </w:r>
      <w:r w:rsidRPr="007453FB">
        <w:t>modest improvement</w:t>
      </w:r>
      <w:r w:rsidR="00330E9E">
        <w:t>. In contrast,</w:t>
      </w:r>
      <w:r w:rsidRPr="007453FB">
        <w:t xml:space="preserve"> SD and ESD </w:t>
      </w:r>
      <w:r w:rsidR="00357ECF">
        <w:t>performances were considered exceptional.</w:t>
      </w:r>
    </w:p>
    <w:p w14:paraId="19FABC9B" w14:textId="77777777" w:rsidR="007453FB" w:rsidRPr="007453FB" w:rsidRDefault="00377922" w:rsidP="003E2C8F">
      <w:pPr>
        <w:jc w:val="both"/>
      </w:pPr>
      <w:r w:rsidRPr="00377922">
        <w:t>South African Forestry Company Limited (SAFCOL)</w:t>
      </w:r>
      <w:r w:rsidR="007453FB" w:rsidRPr="007453FB">
        <w:t xml:space="preserve">, the state-owned forestry company, received B-BBEE Facilitator Status </w:t>
      </w:r>
      <w:r>
        <w:t>o</w:t>
      </w:r>
      <w:r w:rsidR="007453FB" w:rsidRPr="007453FB">
        <w:t>n</w:t>
      </w:r>
      <w:r>
        <w:t xml:space="preserve"> the 18</w:t>
      </w:r>
      <w:r w:rsidRPr="00F4793F">
        <w:rPr>
          <w:vertAlign w:val="superscript"/>
        </w:rPr>
        <w:t>th</w:t>
      </w:r>
      <w:r>
        <w:t xml:space="preserve"> of</w:t>
      </w:r>
      <w:r w:rsidR="007453FB" w:rsidRPr="007453FB">
        <w:t xml:space="preserve"> June 2024 and maintain</w:t>
      </w:r>
      <w:r w:rsidR="00F13522">
        <w:t>ed</w:t>
      </w:r>
      <w:r w:rsidR="007453FB" w:rsidRPr="007453FB">
        <w:t xml:space="preserve"> a Level 2 </w:t>
      </w:r>
      <w:r>
        <w:t xml:space="preserve">B-BBEE </w:t>
      </w:r>
      <w:r w:rsidR="007453FB" w:rsidRPr="007453FB">
        <w:t>rating. While excelling in ESD and SED, its decline in learner absorption reflects a sector-wide challenge. Active participation in initiatives like F-GEP is essential to address high youth unemployment and improve the transition from training to employment.</w:t>
      </w:r>
    </w:p>
    <w:p w14:paraId="43224BEB" w14:textId="77777777" w:rsidR="007453FB" w:rsidRPr="007453FB" w:rsidRDefault="00544E24" w:rsidP="003E2C8F">
      <w:pPr>
        <w:pStyle w:val="Heading4"/>
        <w:jc w:val="both"/>
      </w:pPr>
      <w:r>
        <w:t>MLEs: In summary</w:t>
      </w:r>
    </w:p>
    <w:p w14:paraId="15C74666" w14:textId="77777777" w:rsidR="007453FB" w:rsidRPr="007453FB" w:rsidRDefault="007453FB" w:rsidP="003E2C8F">
      <w:pPr>
        <w:jc w:val="both"/>
      </w:pPr>
      <w:r w:rsidRPr="007453FB">
        <w:t>The forestry sector's MLEs continue to make incremental progress in</w:t>
      </w:r>
      <w:r w:rsidR="00F13522">
        <w:t xml:space="preserve"> SED,</w:t>
      </w:r>
      <w:r w:rsidRPr="007453FB">
        <w:t xml:space="preserve"> </w:t>
      </w:r>
      <w:r w:rsidR="00F13522" w:rsidRPr="007453FB">
        <w:t xml:space="preserve">ESD </w:t>
      </w:r>
      <w:r w:rsidRPr="007453FB">
        <w:t xml:space="preserve">ownership, </w:t>
      </w:r>
      <w:r w:rsidR="00F13522" w:rsidRPr="007453FB">
        <w:t xml:space="preserve">and </w:t>
      </w:r>
      <w:r w:rsidRPr="007453FB">
        <w:t xml:space="preserve">SD, </w:t>
      </w:r>
      <w:r w:rsidR="00F13522">
        <w:t>with low performance on MC</w:t>
      </w:r>
      <w:r w:rsidRPr="007453FB">
        <w:t xml:space="preserve">. However, the persistently poor performance of the Charcoal sub-sector, along with sector-wide underrepresentation of black women and weak absorption rates, </w:t>
      </w:r>
      <w:r w:rsidR="00DE6144">
        <w:t>reveals</w:t>
      </w:r>
      <w:r w:rsidR="00DE6144" w:rsidRPr="007453FB">
        <w:t xml:space="preserve"> </w:t>
      </w:r>
      <w:r w:rsidRPr="007453FB">
        <w:t>deep structural challenges.</w:t>
      </w:r>
    </w:p>
    <w:p w14:paraId="18E46A3C" w14:textId="48A2B7AC" w:rsidR="007453FB" w:rsidRPr="007453FB" w:rsidRDefault="007453FB" w:rsidP="003E2C8F">
      <w:pPr>
        <w:jc w:val="both"/>
      </w:pPr>
      <w:r w:rsidRPr="007453FB">
        <w:t>A shift towards targeted, integrated transformation strategies is needed</w:t>
      </w:r>
      <w:r w:rsidR="00C102E5">
        <w:t>, and should be</w:t>
      </w:r>
      <w:r w:rsidR="00544E24">
        <w:t xml:space="preserve"> </w:t>
      </w:r>
      <w:r w:rsidRPr="007453FB">
        <w:t xml:space="preserve">supported by strengthened oversight, co-investment mechanisms, and partnerships across government, industry, and education. </w:t>
      </w:r>
      <w:r w:rsidR="00F13522">
        <w:t xml:space="preserve">Such interventions </w:t>
      </w:r>
      <w:r w:rsidRPr="007453FB">
        <w:t>will</w:t>
      </w:r>
      <w:r w:rsidR="00F13522">
        <w:t xml:space="preserve"> assist</w:t>
      </w:r>
      <w:r w:rsidRPr="007453FB">
        <w:t xml:space="preserve"> the sector</w:t>
      </w:r>
      <w:r w:rsidR="009001BB">
        <w:t xml:space="preserve"> to</w:t>
      </w:r>
      <w:r w:rsidRPr="007453FB">
        <w:t xml:space="preserve"> realise its goal of achieving a Level 2 B-BBEE rating and foster inclusive, sustainable economic growth.</w:t>
      </w:r>
    </w:p>
    <w:p w14:paraId="0DCC3599" w14:textId="77777777" w:rsidR="007453FB" w:rsidRPr="007453FB" w:rsidRDefault="00014AED" w:rsidP="003E2C8F">
      <w:pPr>
        <w:pStyle w:val="Heading3"/>
        <w:jc w:val="both"/>
      </w:pPr>
      <w:r w:rsidRPr="00014AED">
        <w:t>Qualifying Small Enterprises (</w:t>
      </w:r>
      <w:r w:rsidR="007453FB" w:rsidRPr="007453FB">
        <w:t>QSE</w:t>
      </w:r>
      <w:r>
        <w:t>s)</w:t>
      </w:r>
      <w:r w:rsidR="007453FB" w:rsidRPr="007453FB">
        <w:t xml:space="preserve"> </w:t>
      </w:r>
      <w:r w:rsidR="00544E24">
        <w:t>Analysis</w:t>
      </w:r>
    </w:p>
    <w:p w14:paraId="6E30F217" w14:textId="6F5107D0" w:rsidR="007453FB" w:rsidRPr="007453FB" w:rsidRDefault="00544E24" w:rsidP="003E2C8F">
      <w:pPr>
        <w:jc w:val="both"/>
      </w:pPr>
      <w:r>
        <w:t>QSEs,</w:t>
      </w:r>
      <w:r w:rsidR="007453FB" w:rsidRPr="007453FB">
        <w:t xml:space="preserve"> with annual turnovers between R10 million and R50 million, are pivotal to the transformation of South Africa’s forestry sector under the B-BBEE framework. QSEs are classified as either Enhanced (</w:t>
      </w:r>
      <w:r w:rsidR="00C102E5">
        <w:t xml:space="preserve">being </w:t>
      </w:r>
      <w:r w:rsidR="007453FB" w:rsidRPr="007453FB">
        <w:t>over 5</w:t>
      </w:r>
      <w:r w:rsidR="00F40F70">
        <w:t>1</w:t>
      </w:r>
      <w:r w:rsidR="007453FB" w:rsidRPr="007453FB">
        <w:t>% black-owned</w:t>
      </w:r>
      <w:r w:rsidR="00C102E5">
        <w:t xml:space="preserve"> and therefore</w:t>
      </w:r>
      <w:r w:rsidR="007453FB" w:rsidRPr="007453FB">
        <w:t xml:space="preserve"> exempt from verification) or Unenhanced (minority black-owned, verified across all B-BBEE scorecard elements). In 2024/25, 53 QSEs submitted B-BBEE credentials</w:t>
      </w:r>
      <w:r w:rsidR="00B7532A">
        <w:t xml:space="preserve"> - </w:t>
      </w:r>
      <w:r w:rsidR="007453FB" w:rsidRPr="007453FB">
        <w:t>a 5.4% decline from previous years</w:t>
      </w:r>
      <w:r w:rsidR="00F40F70">
        <w:t xml:space="preserve"> </w:t>
      </w:r>
      <w:r w:rsidR="007453FB" w:rsidRPr="007453FB">
        <w:t>despite long-standing sector participation.</w:t>
      </w:r>
    </w:p>
    <w:p w14:paraId="66C44F71" w14:textId="77777777" w:rsidR="007453FB" w:rsidRPr="007453FB" w:rsidRDefault="00544E24" w:rsidP="003E2C8F">
      <w:pPr>
        <w:pStyle w:val="Heading4"/>
        <w:jc w:val="both"/>
      </w:pPr>
      <w:r>
        <w:lastRenderedPageBreak/>
        <w:t>Ownership</w:t>
      </w:r>
    </w:p>
    <w:p w14:paraId="1428A242" w14:textId="497D4962" w:rsidR="007453FB" w:rsidRPr="007453FB" w:rsidRDefault="007453FB" w:rsidP="003E2C8F">
      <w:pPr>
        <w:jc w:val="both"/>
      </w:pPr>
      <w:r w:rsidRPr="007453FB">
        <w:t>Enhanced QSEs dominate submissions</w:t>
      </w:r>
      <w:r w:rsidR="0008782F">
        <w:t>, perhaps</w:t>
      </w:r>
      <w:r w:rsidRPr="007453FB">
        <w:t xml:space="preserve"> due to the simplicity of affidavit-based reporting. However, this results in the underreporting of contributions to critical elements such as </w:t>
      </w:r>
      <w:r w:rsidR="0008782F">
        <w:t xml:space="preserve">MC, </w:t>
      </w:r>
      <w:r w:rsidR="00544E24">
        <w:t>SD, ESD and SED</w:t>
      </w:r>
      <w:r w:rsidR="00696AB4">
        <w:t xml:space="preserve"> from this pivotal group</w:t>
      </w:r>
      <w:r w:rsidR="00544E24">
        <w:t>.</w:t>
      </w:r>
      <w:r w:rsidRPr="007453FB">
        <w:t xml:space="preserve"> There</w:t>
      </w:r>
      <w:r w:rsidR="009001BB">
        <w:t xml:space="preserve"> could be an</w:t>
      </w:r>
      <w:r w:rsidR="00696AB4">
        <w:t xml:space="preserve"> urgent</w:t>
      </w:r>
      <w:r w:rsidRPr="007453FB">
        <w:t xml:space="preserve"> need to re-evaluate the exemption criteria as Enhanced QSEs often generate substantial turnover yet remain unmeasured in key transformation areas.</w:t>
      </w:r>
    </w:p>
    <w:p w14:paraId="75E56948" w14:textId="77777777" w:rsidR="007453FB" w:rsidRPr="007453FB" w:rsidRDefault="007453FB" w:rsidP="003E2C8F">
      <w:pPr>
        <w:jc w:val="both"/>
      </w:pPr>
      <w:r w:rsidRPr="007453FB">
        <w:t xml:space="preserve">Among Unenhanced QSEs, Contracting is the standout performer, achieving </w:t>
      </w:r>
      <w:r w:rsidR="009001BB">
        <w:t xml:space="preserve">good </w:t>
      </w:r>
      <w:r w:rsidRPr="007453FB">
        <w:t xml:space="preserve">ownership scores, while Fibre, Sawmilling, and Growers scored poorly or not at all. Average black ownership across all QSEs </w:t>
      </w:r>
      <w:r w:rsidR="009001BB">
        <w:t>wa</w:t>
      </w:r>
      <w:r w:rsidRPr="007453FB">
        <w:t>s</w:t>
      </w:r>
      <w:r w:rsidR="009001BB">
        <w:t xml:space="preserve"> at </w:t>
      </w:r>
      <w:r w:rsidRPr="007453FB">
        <w:t xml:space="preserve">66%, but ownership by black women (13%) and </w:t>
      </w:r>
      <w:r w:rsidR="00544E24">
        <w:t xml:space="preserve">black </w:t>
      </w:r>
      <w:r w:rsidRPr="007453FB">
        <w:t>designated groups (24%) remains low. Voting rights and economic interests for black individuals and women remain severely underrepresented outside the Contracting sub-sector.</w:t>
      </w:r>
    </w:p>
    <w:p w14:paraId="7D04EEE8" w14:textId="0880F7C7" w:rsidR="007453FB" w:rsidRPr="007453FB" w:rsidRDefault="00544E24" w:rsidP="003E2C8F">
      <w:pPr>
        <w:pStyle w:val="Heading4"/>
        <w:jc w:val="both"/>
      </w:pPr>
      <w:r>
        <w:t>Management Control</w:t>
      </w:r>
      <w:r w:rsidR="009B1AB6">
        <w:t xml:space="preserve"> (MC)</w:t>
      </w:r>
    </w:p>
    <w:p w14:paraId="414E2EF2" w14:textId="77777777" w:rsidR="00544E24" w:rsidRDefault="00544E24" w:rsidP="003E2C8F">
      <w:pPr>
        <w:jc w:val="both"/>
      </w:pPr>
      <w:r w:rsidRPr="003E17FF">
        <w:t>MC</w:t>
      </w:r>
      <w:r w:rsidR="007453FB" w:rsidRPr="003E17FF">
        <w:t xml:space="preserve"> performance declined sharply. Only Contracting met targets across all management levels, particularly for black women. Other sub-sectors recorded little to no participation, signalling entrenched leadership disparities. </w:t>
      </w:r>
      <w:r w:rsidR="00140A5E" w:rsidRPr="003E17FF">
        <w:t>Without</w:t>
      </w:r>
      <w:r w:rsidR="00F701BC" w:rsidRPr="003E17FF">
        <w:t xml:space="preserve"> urgent intervention, the forestry sector risks perpetuating leadership imbalances that undermine the broader goals of B-BBEE transformation.</w:t>
      </w:r>
      <w:r w:rsidR="00066B2B" w:rsidRPr="003E17FF">
        <w:t xml:space="preserve"> Going forward, the performance of the Contractor sub</w:t>
      </w:r>
      <w:r w:rsidR="00612E9C">
        <w:t>-</w:t>
      </w:r>
      <w:r w:rsidR="00066B2B" w:rsidRPr="003E17FF">
        <w:t>sector should be seen as providing a potential blueprint for other sectors to improve their performance.</w:t>
      </w:r>
    </w:p>
    <w:p w14:paraId="6F6BCCB5" w14:textId="4A622DBA" w:rsidR="00544E24" w:rsidRDefault="00544E24" w:rsidP="003E2C8F">
      <w:pPr>
        <w:pStyle w:val="Heading4"/>
        <w:jc w:val="both"/>
      </w:pPr>
      <w:r>
        <w:t>Skills Development</w:t>
      </w:r>
      <w:r w:rsidR="009B1AB6">
        <w:t xml:space="preserve"> (SD)</w:t>
      </w:r>
    </w:p>
    <w:p w14:paraId="159930F2" w14:textId="77777777" w:rsidR="007453FB" w:rsidRPr="007453FB" w:rsidRDefault="00544E24" w:rsidP="003E2C8F">
      <w:pPr>
        <w:jc w:val="both"/>
      </w:pPr>
      <w:r>
        <w:t>SD</w:t>
      </w:r>
      <w:r w:rsidR="007453FB" w:rsidRPr="007453FB">
        <w:t xml:space="preserve"> also </w:t>
      </w:r>
      <w:r w:rsidR="00D432AC">
        <w:t>declined,</w:t>
      </w:r>
      <w:r w:rsidR="007453FB" w:rsidRPr="007453FB">
        <w:t xml:space="preserve"> with average scores dropping by 35%,</w:t>
      </w:r>
      <w:r w:rsidR="00670C87">
        <w:t xml:space="preserve"> with</w:t>
      </w:r>
      <w:r w:rsidR="007453FB" w:rsidRPr="007453FB">
        <w:t xml:space="preserve"> only Contracting </w:t>
      </w:r>
      <w:r w:rsidR="00DB133E">
        <w:t>meeting</w:t>
      </w:r>
      <w:r w:rsidR="007453FB" w:rsidRPr="007453FB">
        <w:t xml:space="preserve"> or excee</w:t>
      </w:r>
      <w:r w:rsidR="00DB133E">
        <w:t>ding</w:t>
      </w:r>
      <w:r w:rsidR="007453FB" w:rsidRPr="007453FB">
        <w:t xml:space="preserve"> targets for black people, black women, and people with disabilities. Other QSEs demonstrated minimal effort, reflecting low investment in workforce transformation</w:t>
      </w:r>
      <w:r w:rsidR="007F4EE8">
        <w:t xml:space="preserve"> and severely</w:t>
      </w:r>
      <w:r w:rsidR="001F1F09">
        <w:t xml:space="preserve"> </w:t>
      </w:r>
      <w:r w:rsidR="00A66171">
        <w:t>undermining</w:t>
      </w:r>
      <w:r w:rsidR="001F1F09">
        <w:t xml:space="preserve"> the sector’s ability to achieve B-BBEE. </w:t>
      </w:r>
    </w:p>
    <w:p w14:paraId="30F76AB0" w14:textId="6715D3D5" w:rsidR="007453FB" w:rsidRPr="007453FB" w:rsidRDefault="007453FB" w:rsidP="003E2C8F">
      <w:pPr>
        <w:pStyle w:val="Heading4"/>
        <w:jc w:val="both"/>
      </w:pPr>
      <w:r w:rsidRPr="007453FB">
        <w:t>Enterprise &amp; Supplier Development</w:t>
      </w:r>
      <w:r w:rsidR="009B1AB6">
        <w:t xml:space="preserve"> (ESD)</w:t>
      </w:r>
    </w:p>
    <w:p w14:paraId="1EC4B350" w14:textId="77777777" w:rsidR="00544E24" w:rsidRDefault="007453FB" w:rsidP="003E2C8F">
      <w:pPr>
        <w:jc w:val="both"/>
      </w:pPr>
      <w:r w:rsidRPr="007453FB">
        <w:t xml:space="preserve">ESD performance averaged 13 out of 30 points, a decline from previous years. Contracting excelled in Preferential Procurement, Supplier Development, and Enterprise Development, but all other sub-sectors underperformed or failed to report. </w:t>
      </w:r>
      <w:r w:rsidR="003D6488">
        <w:t>Going forward, the Contractor sub-sector should be seen as a potential blueprint when it comes to what is attainable in terms of ESD and how it can be implemented.</w:t>
      </w:r>
      <w:r w:rsidR="00C80BAD">
        <w:t xml:space="preserve"> While stronger enforcement</w:t>
      </w:r>
      <w:r w:rsidR="001B3C50">
        <w:t>, accountability and consistent reporting are urgently needed across all</w:t>
      </w:r>
      <w:r w:rsidR="009001BB">
        <w:t xml:space="preserve"> particularly lagging</w:t>
      </w:r>
      <w:r w:rsidR="001B3C50">
        <w:t xml:space="preserve"> sub-sectors to drive equitable and sustainable economic transformation.</w:t>
      </w:r>
    </w:p>
    <w:p w14:paraId="7B1FC193" w14:textId="1214BE1B" w:rsidR="00544E24" w:rsidRDefault="00544E24" w:rsidP="003E2C8F">
      <w:pPr>
        <w:pStyle w:val="Heading4"/>
        <w:jc w:val="both"/>
      </w:pPr>
      <w:r>
        <w:t>Socio-Economic Development</w:t>
      </w:r>
      <w:r w:rsidR="009B1AB6">
        <w:t xml:space="preserve"> (SED)</w:t>
      </w:r>
    </w:p>
    <w:p w14:paraId="0C52297A" w14:textId="77777777" w:rsidR="007453FB" w:rsidRPr="007453FB" w:rsidRDefault="007453FB" w:rsidP="003E2C8F">
      <w:pPr>
        <w:jc w:val="both"/>
      </w:pPr>
      <w:r w:rsidRPr="007453FB">
        <w:t>SED scores dropped significantly, with Contracting contributing well above the 1% NPAT requirement, while others lagged or failed to comply. These declines compromise the sector’s ability to uplift rural communities and emerging enterprises</w:t>
      </w:r>
      <w:r w:rsidR="0051367C">
        <w:t>,</w:t>
      </w:r>
      <w:r w:rsidR="00C05DCB">
        <w:t xml:space="preserve"> and </w:t>
      </w:r>
      <w:r w:rsidR="009001BB">
        <w:t>henceforth</w:t>
      </w:r>
      <w:r w:rsidR="00C05DCB">
        <w:t xml:space="preserve">, </w:t>
      </w:r>
      <w:r w:rsidR="00C801B0">
        <w:t>increased engagement is required to reinforce the importance of SED contributions</w:t>
      </w:r>
      <w:r w:rsidRPr="007453FB">
        <w:t>.</w:t>
      </w:r>
    </w:p>
    <w:p w14:paraId="470DF793" w14:textId="77777777" w:rsidR="007453FB" w:rsidRPr="007453FB" w:rsidRDefault="00544E24" w:rsidP="003E2C8F">
      <w:pPr>
        <w:pStyle w:val="Heading4"/>
        <w:jc w:val="both"/>
      </w:pPr>
      <w:r>
        <w:t>QSEs: in summary</w:t>
      </w:r>
    </w:p>
    <w:p w14:paraId="7DDF9C76" w14:textId="77777777" w:rsidR="007453FB" w:rsidRPr="007453FB" w:rsidRDefault="007453FB" w:rsidP="003E2C8F">
      <w:pPr>
        <w:jc w:val="both"/>
      </w:pPr>
      <w:r w:rsidRPr="007453FB">
        <w:t>The forestry sector’s QSE</w:t>
      </w:r>
      <w:r w:rsidR="00612E9C">
        <w:t>s</w:t>
      </w:r>
      <w:r w:rsidRPr="007453FB">
        <w:t xml:space="preserve"> landscape is highly uneven, with Contracting leading in transformation, and other sub-sectors displaying systemic underperformance. Urgent recommendations </w:t>
      </w:r>
      <w:proofErr w:type="gramStart"/>
      <w:r w:rsidRPr="007453FB">
        <w:t>include:</w:t>
      </w:r>
      <w:proofErr w:type="gramEnd"/>
      <w:r w:rsidR="002D0400">
        <w:t xml:space="preserve"> </w:t>
      </w:r>
      <w:r w:rsidR="00D432AC">
        <w:t>possible r</w:t>
      </w:r>
      <w:r w:rsidR="0051367C">
        <w:t>eviewing</w:t>
      </w:r>
      <w:r w:rsidRPr="007453FB">
        <w:t xml:space="preserve"> Enhanced QSE</w:t>
      </w:r>
      <w:r w:rsidR="00612E9C">
        <w:t>s</w:t>
      </w:r>
      <w:r w:rsidRPr="007453FB">
        <w:t xml:space="preserve"> exemptions to ensure meaningful contribution across all elements.</w:t>
      </w:r>
      <w:r w:rsidR="002D0400">
        <w:t xml:space="preserve"> </w:t>
      </w:r>
      <w:r w:rsidRPr="007453FB">
        <w:t>Introducing stronger compliance enforcement, especially in underperforming sub-sectors.</w:t>
      </w:r>
      <w:r w:rsidR="002D0400">
        <w:t xml:space="preserve"> </w:t>
      </w:r>
      <w:r w:rsidRPr="007453FB">
        <w:t>Promoting black women and designated group participation in ownership, leadership, and procurement.</w:t>
      </w:r>
      <w:r w:rsidR="002D0400">
        <w:t xml:space="preserve"> </w:t>
      </w:r>
      <w:r w:rsidRPr="007453FB">
        <w:t>Expanding sector-wide education, mentorship, and support to strengthen MC, SD, and ESD outcomes.</w:t>
      </w:r>
      <w:r w:rsidR="002D0400">
        <w:t xml:space="preserve"> </w:t>
      </w:r>
      <w:r w:rsidR="00544E24">
        <w:t>D</w:t>
      </w:r>
      <w:r w:rsidRPr="007453FB">
        <w:t>ecisive action</w:t>
      </w:r>
      <w:r w:rsidR="00544E24">
        <w:t>, stronger</w:t>
      </w:r>
      <w:r w:rsidRPr="007453FB">
        <w:t xml:space="preserve"> </w:t>
      </w:r>
      <w:r w:rsidRPr="007453FB">
        <w:lastRenderedPageBreak/>
        <w:t>governance, targeted engagement, and inclusive strategies are essential to realise the full intent of B-BBEE</w:t>
      </w:r>
      <w:r w:rsidR="009001BB">
        <w:t xml:space="preserve"> implementation and</w:t>
      </w:r>
      <w:r w:rsidRPr="007453FB">
        <w:t xml:space="preserve"> transformation.</w:t>
      </w:r>
    </w:p>
    <w:p w14:paraId="068267D0" w14:textId="77777777" w:rsidR="007453FB" w:rsidRPr="007453FB" w:rsidRDefault="0051367C" w:rsidP="003E2C8F">
      <w:pPr>
        <w:pStyle w:val="Heading3"/>
        <w:jc w:val="both"/>
      </w:pPr>
      <w:r w:rsidRPr="0051367C">
        <w:t>Exempted Micro Enterprises (</w:t>
      </w:r>
      <w:r w:rsidR="007453FB" w:rsidRPr="007453FB">
        <w:t>EME</w:t>
      </w:r>
      <w:r>
        <w:t>s)</w:t>
      </w:r>
      <w:r w:rsidR="007453FB" w:rsidRPr="007453FB">
        <w:t xml:space="preserve"> </w:t>
      </w:r>
      <w:r w:rsidR="00544E24">
        <w:t>Analysis</w:t>
      </w:r>
    </w:p>
    <w:p w14:paraId="53D53D4D" w14:textId="77777777" w:rsidR="007453FB" w:rsidRPr="007453FB" w:rsidRDefault="007453FB" w:rsidP="003E2C8F">
      <w:pPr>
        <w:jc w:val="both"/>
      </w:pPr>
      <w:r w:rsidRPr="007453FB">
        <w:t>E</w:t>
      </w:r>
      <w:r w:rsidR="00544E24">
        <w:t>MEs</w:t>
      </w:r>
      <w:r w:rsidRPr="007453FB">
        <w:t>, with annual turnovers of up to R10 million, continue to play a crucial role in advancing black economic empowerment in the forestry sector. Classified as either Enhanced or Unenhanced, EMEs are exempt</w:t>
      </w:r>
      <w:r w:rsidR="0051367C">
        <w:t>ed</w:t>
      </w:r>
      <w:r w:rsidRPr="007453FB">
        <w:t xml:space="preserve"> from full B-BBEE verification and instead submit affidavits or CIPC certificates based on ownership levels.</w:t>
      </w:r>
    </w:p>
    <w:p w14:paraId="369D894A" w14:textId="77777777" w:rsidR="007453FB" w:rsidRPr="007453FB" w:rsidRDefault="007453FB" w:rsidP="003E2C8F">
      <w:pPr>
        <w:jc w:val="both"/>
      </w:pPr>
      <w:r w:rsidRPr="007453FB">
        <w:t>In 2024/25, 79% of EMEs achieved Level 1 status through 100% black ownership, reflecting a strong base of black-owned businesses. A further 3% reached Level 2 (51–99% black ownership), while 18% were Level 4 (less than 51%). Encouragingly, average black ownership stood at 80.6%, with black women and designated groups holding 31.4% and 65.7% respectively</w:t>
      </w:r>
      <w:r w:rsidR="00544E24">
        <w:t xml:space="preserve"> - </w:t>
      </w:r>
      <w:r w:rsidRPr="007453FB">
        <w:t>figures notably higher than in QSEs.</w:t>
      </w:r>
    </w:p>
    <w:p w14:paraId="54A8BF50" w14:textId="77777777" w:rsidR="007453FB" w:rsidRPr="007453FB" w:rsidRDefault="007453FB" w:rsidP="003E2C8F">
      <w:pPr>
        <w:jc w:val="both"/>
      </w:pPr>
      <w:r w:rsidRPr="007453FB">
        <w:t>However, submissions dropped significantly to 67 from 100 the previous year, raising concerns about compliance and the ability to track transformation. The Contracting and Grower sub-sectors accounted for 95% of submissions, while Sawmilling and Pole Producers recorded none</w:t>
      </w:r>
      <w:r w:rsidR="0051367C">
        <w:t>,</w:t>
      </w:r>
      <w:r w:rsidR="00510333">
        <w:t xml:space="preserve"> something that needs further investigation</w:t>
      </w:r>
      <w:r w:rsidRPr="007453FB">
        <w:t>.</w:t>
      </w:r>
      <w:r w:rsidR="00544E24">
        <w:t xml:space="preserve"> </w:t>
      </w:r>
      <w:r w:rsidRPr="007453FB">
        <w:t>To ensure continued transformation, the sector must address declining compliance, broaden sub-sector participation, and support the growth of EMEs into larger QSE</w:t>
      </w:r>
      <w:r w:rsidR="0051367C">
        <w:t>s</w:t>
      </w:r>
      <w:r w:rsidRPr="007453FB">
        <w:t xml:space="preserve"> and MLE</w:t>
      </w:r>
      <w:r w:rsidR="0051367C">
        <w:t>s</w:t>
      </w:r>
      <w:r w:rsidRPr="007453FB">
        <w:t xml:space="preserve"> categories. Adoption of the FSCC’s planned Online Reporting System may improve submission rates and simplify compliance processes going forward.</w:t>
      </w:r>
    </w:p>
    <w:p w14:paraId="68C03B53" w14:textId="77777777" w:rsidR="007453FB" w:rsidRPr="007453FB" w:rsidRDefault="007453FB" w:rsidP="003E2C8F">
      <w:pPr>
        <w:pStyle w:val="Heading3"/>
        <w:jc w:val="both"/>
      </w:pPr>
      <w:r w:rsidRPr="007453FB">
        <w:t>Sector Transformation FY2024/25</w:t>
      </w:r>
      <w:r w:rsidR="00544E24">
        <w:t>: In conclusion</w:t>
      </w:r>
    </w:p>
    <w:p w14:paraId="31B0C222" w14:textId="77777777" w:rsidR="007453FB" w:rsidRPr="007453FB" w:rsidRDefault="007453FB" w:rsidP="003E2C8F">
      <w:pPr>
        <w:jc w:val="both"/>
      </w:pPr>
      <w:r w:rsidRPr="007453FB">
        <w:t>The 2024/25 reporting year marks a pivotal moment in the forestry sector’s transformation journey, with progress tempered by persistent challenges. Since the 2017 amendment of the Forest Sector Code, the sector has aimed to drive inclusion, equity, and diversity</w:t>
      </w:r>
      <w:r w:rsidR="005B2B62">
        <w:t>,</w:t>
      </w:r>
      <w:r w:rsidR="00D67AA1">
        <w:t xml:space="preserve"> and this has been illustrated by a steadily increasing number of reporting entities</w:t>
      </w:r>
      <w:r w:rsidRPr="007453FB">
        <w:t xml:space="preserve">. </w:t>
      </w:r>
      <w:r w:rsidR="00D67AA1">
        <w:t>The</w:t>
      </w:r>
      <w:r w:rsidRPr="007453FB">
        <w:t xml:space="preserve"> decline </w:t>
      </w:r>
      <w:r w:rsidR="009001BB">
        <w:t xml:space="preserve">observed in </w:t>
      </w:r>
      <w:r w:rsidR="00D67AA1">
        <w:t xml:space="preserve">this reporting cycle </w:t>
      </w:r>
      <w:r w:rsidRPr="007453FB">
        <w:t>from 191 to 158</w:t>
      </w:r>
      <w:r w:rsidR="00D67AA1">
        <w:t xml:space="preserve"> </w:t>
      </w:r>
      <w:r w:rsidRPr="007453FB">
        <w:t xml:space="preserve">is concerning, driven largely by reduced submissions from </w:t>
      </w:r>
      <w:r w:rsidR="00D67AA1">
        <w:t>EMEs</w:t>
      </w:r>
      <w:r w:rsidR="005B2B62">
        <w:t>.</w:t>
      </w:r>
      <w:r w:rsidRPr="007453FB">
        <w:t xml:space="preserve"> This suggests inadequate integration of smaller businesses and highlights the need for stronger</w:t>
      </w:r>
      <w:r w:rsidR="009001BB">
        <w:t xml:space="preserve"> and progressive</w:t>
      </w:r>
      <w:r w:rsidRPr="007453FB">
        <w:t xml:space="preserve"> corporate support to boost supplier compliance.</w:t>
      </w:r>
    </w:p>
    <w:p w14:paraId="65146A2A" w14:textId="2A0128FF" w:rsidR="007453FB" w:rsidRPr="007453FB" w:rsidRDefault="00D67AA1" w:rsidP="003E2C8F">
      <w:pPr>
        <w:jc w:val="both"/>
      </w:pPr>
      <w:r>
        <w:t>MLEs</w:t>
      </w:r>
      <w:r w:rsidR="007453FB" w:rsidRPr="007453FB">
        <w:t xml:space="preserve"> showed marginal reporting gains, </w:t>
      </w:r>
      <w:r w:rsidR="005D69A4">
        <w:t>while</w:t>
      </w:r>
      <w:r w:rsidR="007453FB" w:rsidRPr="007453FB">
        <w:t xml:space="preserve"> </w:t>
      </w:r>
      <w:r w:rsidR="00C77EEC">
        <w:t>the majority of</w:t>
      </w:r>
      <w:r w:rsidR="007453FB" w:rsidRPr="007453FB">
        <w:t xml:space="preserve"> QSEs remained Enhanced</w:t>
      </w:r>
      <w:r w:rsidR="005B2B62">
        <w:t>,</w:t>
      </w:r>
      <w:r w:rsidR="00C77EEC">
        <w:t xml:space="preserve"> although there is a</w:t>
      </w:r>
      <w:r w:rsidR="007453FB" w:rsidRPr="007453FB">
        <w:t xml:space="preserve"> rise in Unenhanced QSEs</w:t>
      </w:r>
      <w:r w:rsidR="00C77EEC">
        <w:t>,</w:t>
      </w:r>
      <w:r w:rsidR="007453FB" w:rsidRPr="007453FB">
        <w:t xml:space="preserve"> reflect</w:t>
      </w:r>
      <w:r w:rsidR="00C77EEC">
        <w:t>ing a</w:t>
      </w:r>
      <w:r w:rsidR="007453FB" w:rsidRPr="007453FB">
        <w:t xml:space="preserve"> shifting economic dynamic. Sub-sector participation remains uneven, with Contractors and Growers dominating </w:t>
      </w:r>
      <w:r w:rsidR="00015ED9">
        <w:t xml:space="preserve">submissions </w:t>
      </w:r>
      <w:r w:rsidR="00FA284F">
        <w:t>and</w:t>
      </w:r>
      <w:r w:rsidR="007453FB" w:rsidRPr="007453FB">
        <w:t xml:space="preserve"> Charcoal, Pole, and Sawmilling sub-sectors</w:t>
      </w:r>
      <w:r w:rsidR="009952D9">
        <w:t xml:space="preserve"> being underrepresented. This</w:t>
      </w:r>
      <w:r>
        <w:t xml:space="preserve"> </w:t>
      </w:r>
      <w:r w:rsidR="009952D9">
        <w:t xml:space="preserve">makes it impossible to develop </w:t>
      </w:r>
      <w:r w:rsidR="009952D9" w:rsidRPr="007453FB">
        <w:t>a</w:t>
      </w:r>
      <w:r w:rsidR="007453FB" w:rsidRPr="007453FB">
        <w:t xml:space="preserve"> complete picture of sector-wide transformation.</w:t>
      </w:r>
    </w:p>
    <w:p w14:paraId="5B39C8F7" w14:textId="4A6AADAB" w:rsidR="007453FB" w:rsidRPr="007453FB" w:rsidRDefault="007453FB" w:rsidP="003E2C8F">
      <w:pPr>
        <w:jc w:val="both"/>
      </w:pPr>
      <w:r w:rsidRPr="007453FB">
        <w:t xml:space="preserve">B-BBEE Level 1 status remains </w:t>
      </w:r>
      <w:r w:rsidR="009001BB">
        <w:t>the mode</w:t>
      </w:r>
      <w:r w:rsidRPr="007453FB">
        <w:t xml:space="preserve"> among </w:t>
      </w:r>
      <w:r w:rsidR="009952D9">
        <w:t xml:space="preserve">JSE </w:t>
      </w:r>
      <w:r w:rsidRPr="007453FB">
        <w:t>MLEs, Enhanced QSEs, and EMEs, but Unenhanced QSEs trail behind, prompting questions around the long-term efficacy of the Enhancement Principle</w:t>
      </w:r>
      <w:r w:rsidR="00D67AA1">
        <w:t xml:space="preserve"> and whether Enhanced </w:t>
      </w:r>
      <w:r w:rsidR="005B2B62">
        <w:t xml:space="preserve">QSEs </w:t>
      </w:r>
      <w:r w:rsidR="00D67AA1">
        <w:t>would gain Level 1 status if measured against the other transformation targets</w:t>
      </w:r>
      <w:r w:rsidRPr="007453FB">
        <w:t xml:space="preserve">. </w:t>
      </w:r>
      <w:r w:rsidR="00D67AA1">
        <w:t>Especially as p</w:t>
      </w:r>
      <w:r w:rsidRPr="007453FB">
        <w:t xml:space="preserve">erformance in elements such as </w:t>
      </w:r>
      <w:r w:rsidR="00D67AA1">
        <w:t>SD</w:t>
      </w:r>
      <w:r w:rsidRPr="007453FB">
        <w:t xml:space="preserve"> and </w:t>
      </w:r>
      <w:r w:rsidR="00D67AA1">
        <w:t>MC</w:t>
      </w:r>
      <w:r w:rsidRPr="007453FB">
        <w:t xml:space="preserve"> remains weak</w:t>
      </w:r>
      <w:r w:rsidR="00D67AA1">
        <w:t xml:space="preserve"> across the board</w:t>
      </w:r>
      <w:r w:rsidRPr="007453FB">
        <w:t>, particularly in promoting black women into leadership roles.</w:t>
      </w:r>
    </w:p>
    <w:p w14:paraId="52DF814C" w14:textId="77777777" w:rsidR="00E12E26" w:rsidRDefault="007453FB" w:rsidP="003E2C8F">
      <w:pPr>
        <w:jc w:val="both"/>
      </w:pPr>
      <w:r w:rsidRPr="007453FB">
        <w:t xml:space="preserve">Looking forward, the shift from compliance to impact reporting is vital. The FSCC’s move to include qualitative insights will be key to unlocking a deeper understanding of transformation barriers. For sustained change, the sector must prioritise meaningful empowerment of small </w:t>
      </w:r>
      <w:r w:rsidRPr="007453FB">
        <w:lastRenderedPageBreak/>
        <w:t>businesses, greater gender inclusivity, and reinforce accountability across all scorecard elements.</w:t>
      </w:r>
    </w:p>
    <w:sectPr w:rsidR="00E12E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C196" w14:textId="77777777" w:rsidR="009E79CA" w:rsidRDefault="009E79CA" w:rsidP="007453FB">
      <w:pPr>
        <w:spacing w:after="0" w:line="240" w:lineRule="auto"/>
      </w:pPr>
      <w:r>
        <w:separator/>
      </w:r>
    </w:p>
  </w:endnote>
  <w:endnote w:type="continuationSeparator" w:id="0">
    <w:p w14:paraId="6C81923D" w14:textId="77777777" w:rsidR="009E79CA" w:rsidRDefault="009E79CA" w:rsidP="0074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FAB5" w14:textId="77777777" w:rsidR="009E79CA" w:rsidRDefault="009E79CA" w:rsidP="007453FB">
      <w:pPr>
        <w:spacing w:after="0" w:line="240" w:lineRule="auto"/>
      </w:pPr>
      <w:r>
        <w:separator/>
      </w:r>
    </w:p>
  </w:footnote>
  <w:footnote w:type="continuationSeparator" w:id="0">
    <w:p w14:paraId="3DC621DE" w14:textId="77777777" w:rsidR="009E79CA" w:rsidRDefault="009E79CA" w:rsidP="00745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7C5D" w14:textId="77777777" w:rsidR="007453FB" w:rsidRDefault="007453FB">
    <w:pPr>
      <w:pStyle w:val="Header"/>
    </w:pPr>
    <w:r>
      <w:t xml:space="preserve">FSCC Annual Report 2024/2025 – Executive 4-page Summary – </w:t>
    </w:r>
    <w:r w:rsidR="00CD1C4C">
      <w:t>FINAL</w:t>
    </w:r>
  </w:p>
  <w:p w14:paraId="6D18037A" w14:textId="77777777" w:rsidR="007453FB" w:rsidRDefault="007453FB">
    <w:pPr>
      <w:pStyle w:val="Header"/>
    </w:pPr>
    <w:r>
      <w:t>Compiled by Katherine Johnson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4270"/>
    <w:multiLevelType w:val="multilevel"/>
    <w:tmpl w:val="2E34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89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3FB"/>
    <w:rsid w:val="00014AED"/>
    <w:rsid w:val="00015ED9"/>
    <w:rsid w:val="000206F3"/>
    <w:rsid w:val="00040C89"/>
    <w:rsid w:val="00041532"/>
    <w:rsid w:val="000431E5"/>
    <w:rsid w:val="0006300C"/>
    <w:rsid w:val="00066B2B"/>
    <w:rsid w:val="00072DD6"/>
    <w:rsid w:val="0008782F"/>
    <w:rsid w:val="000914CA"/>
    <w:rsid w:val="000A1107"/>
    <w:rsid w:val="000B526C"/>
    <w:rsid w:val="000E57F6"/>
    <w:rsid w:val="001121EB"/>
    <w:rsid w:val="00140A5E"/>
    <w:rsid w:val="00150D27"/>
    <w:rsid w:val="00156AB1"/>
    <w:rsid w:val="00171543"/>
    <w:rsid w:val="001B1CCA"/>
    <w:rsid w:val="001B3C50"/>
    <w:rsid w:val="001C35EC"/>
    <w:rsid w:val="001C69D1"/>
    <w:rsid w:val="001D21D3"/>
    <w:rsid w:val="001F1F09"/>
    <w:rsid w:val="00200549"/>
    <w:rsid w:val="00200ACC"/>
    <w:rsid w:val="002461D9"/>
    <w:rsid w:val="002928EC"/>
    <w:rsid w:val="002D0400"/>
    <w:rsid w:val="002E518A"/>
    <w:rsid w:val="002E6F1D"/>
    <w:rsid w:val="00324369"/>
    <w:rsid w:val="00330E9E"/>
    <w:rsid w:val="00357ECF"/>
    <w:rsid w:val="00377922"/>
    <w:rsid w:val="003B66C6"/>
    <w:rsid w:val="003D6488"/>
    <w:rsid w:val="003E17FF"/>
    <w:rsid w:val="003E2C8F"/>
    <w:rsid w:val="00440319"/>
    <w:rsid w:val="00467191"/>
    <w:rsid w:val="004976B4"/>
    <w:rsid w:val="004B07EE"/>
    <w:rsid w:val="00510333"/>
    <w:rsid w:val="0051367C"/>
    <w:rsid w:val="00544E24"/>
    <w:rsid w:val="005A1471"/>
    <w:rsid w:val="005A7D69"/>
    <w:rsid w:val="005B2B62"/>
    <w:rsid w:val="005D69A4"/>
    <w:rsid w:val="005E740B"/>
    <w:rsid w:val="00600715"/>
    <w:rsid w:val="00612E9C"/>
    <w:rsid w:val="00613723"/>
    <w:rsid w:val="006302AC"/>
    <w:rsid w:val="00670C87"/>
    <w:rsid w:val="00696AB4"/>
    <w:rsid w:val="006B2948"/>
    <w:rsid w:val="006C4E7A"/>
    <w:rsid w:val="006D77B1"/>
    <w:rsid w:val="006F0551"/>
    <w:rsid w:val="007453FB"/>
    <w:rsid w:val="00772756"/>
    <w:rsid w:val="00784C7E"/>
    <w:rsid w:val="007B21DF"/>
    <w:rsid w:val="007B7BBD"/>
    <w:rsid w:val="007E1CFD"/>
    <w:rsid w:val="007F4EE8"/>
    <w:rsid w:val="007F77D6"/>
    <w:rsid w:val="00851B4E"/>
    <w:rsid w:val="00861331"/>
    <w:rsid w:val="008A5DE3"/>
    <w:rsid w:val="008B5D32"/>
    <w:rsid w:val="008C3F18"/>
    <w:rsid w:val="009001BB"/>
    <w:rsid w:val="00900A14"/>
    <w:rsid w:val="00912D01"/>
    <w:rsid w:val="00967604"/>
    <w:rsid w:val="00972755"/>
    <w:rsid w:val="0098630B"/>
    <w:rsid w:val="009952D9"/>
    <w:rsid w:val="00995DF9"/>
    <w:rsid w:val="009B15FD"/>
    <w:rsid w:val="009B1AB6"/>
    <w:rsid w:val="009E79CA"/>
    <w:rsid w:val="00A4316D"/>
    <w:rsid w:val="00A66171"/>
    <w:rsid w:val="00A71780"/>
    <w:rsid w:val="00AA62A2"/>
    <w:rsid w:val="00AB57AD"/>
    <w:rsid w:val="00B165D9"/>
    <w:rsid w:val="00B7486B"/>
    <w:rsid w:val="00B7532A"/>
    <w:rsid w:val="00B75A02"/>
    <w:rsid w:val="00BD5227"/>
    <w:rsid w:val="00BE0A11"/>
    <w:rsid w:val="00BE57D6"/>
    <w:rsid w:val="00C05DCB"/>
    <w:rsid w:val="00C102E5"/>
    <w:rsid w:val="00C35168"/>
    <w:rsid w:val="00C40230"/>
    <w:rsid w:val="00C77EEC"/>
    <w:rsid w:val="00C801B0"/>
    <w:rsid w:val="00C80BAD"/>
    <w:rsid w:val="00CB2F6A"/>
    <w:rsid w:val="00CC483E"/>
    <w:rsid w:val="00CC54B3"/>
    <w:rsid w:val="00CD1C4C"/>
    <w:rsid w:val="00CD3443"/>
    <w:rsid w:val="00CE27AF"/>
    <w:rsid w:val="00CF71F7"/>
    <w:rsid w:val="00D432AC"/>
    <w:rsid w:val="00D67AA1"/>
    <w:rsid w:val="00D80BEE"/>
    <w:rsid w:val="00D81468"/>
    <w:rsid w:val="00D91CCD"/>
    <w:rsid w:val="00DB133E"/>
    <w:rsid w:val="00DC1C33"/>
    <w:rsid w:val="00DE6144"/>
    <w:rsid w:val="00DE6C48"/>
    <w:rsid w:val="00E12E26"/>
    <w:rsid w:val="00E27F89"/>
    <w:rsid w:val="00E41068"/>
    <w:rsid w:val="00E84BC4"/>
    <w:rsid w:val="00E96B09"/>
    <w:rsid w:val="00EB082C"/>
    <w:rsid w:val="00EC1B82"/>
    <w:rsid w:val="00EC4138"/>
    <w:rsid w:val="00EF0FBA"/>
    <w:rsid w:val="00F13522"/>
    <w:rsid w:val="00F2299B"/>
    <w:rsid w:val="00F40F70"/>
    <w:rsid w:val="00F4793F"/>
    <w:rsid w:val="00F60CBE"/>
    <w:rsid w:val="00F701BC"/>
    <w:rsid w:val="00F81596"/>
    <w:rsid w:val="00FA284F"/>
    <w:rsid w:val="00FB03DC"/>
    <w:rsid w:val="00FB0773"/>
    <w:rsid w:val="00FD7DF2"/>
    <w:rsid w:val="00FE0C09"/>
    <w:rsid w:val="00FE22BD"/>
    <w:rsid w:val="00FF2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E3D8C"/>
  <w15:chartTrackingRefBased/>
  <w15:docId w15:val="{03A4B7C9-217B-4FF8-B927-9D8AF9AA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7453F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7453F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7453F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007453F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453F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453F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453F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453F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453F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53FB"/>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453FB"/>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7453FB"/>
    <w:rPr>
      <w:rFonts w:eastAsia="Times New Roman" w:cs="Times New Roman"/>
      <w:color w:val="0F4761"/>
      <w:sz w:val="28"/>
      <w:szCs w:val="28"/>
    </w:rPr>
  </w:style>
  <w:style w:type="character" w:customStyle="1" w:styleId="Heading4Char">
    <w:name w:val="Heading 4 Char"/>
    <w:link w:val="Heading4"/>
    <w:uiPriority w:val="9"/>
    <w:rsid w:val="007453FB"/>
    <w:rPr>
      <w:rFonts w:eastAsia="Times New Roman" w:cs="Times New Roman"/>
      <w:i/>
      <w:iCs/>
      <w:color w:val="0F4761"/>
    </w:rPr>
  </w:style>
  <w:style w:type="character" w:customStyle="1" w:styleId="Heading5Char">
    <w:name w:val="Heading 5 Char"/>
    <w:link w:val="Heading5"/>
    <w:uiPriority w:val="9"/>
    <w:semiHidden/>
    <w:rsid w:val="007453FB"/>
    <w:rPr>
      <w:rFonts w:eastAsia="Times New Roman" w:cs="Times New Roman"/>
      <w:color w:val="0F4761"/>
    </w:rPr>
  </w:style>
  <w:style w:type="character" w:customStyle="1" w:styleId="Heading6Char">
    <w:name w:val="Heading 6 Char"/>
    <w:link w:val="Heading6"/>
    <w:uiPriority w:val="9"/>
    <w:semiHidden/>
    <w:rsid w:val="007453FB"/>
    <w:rPr>
      <w:rFonts w:eastAsia="Times New Roman" w:cs="Times New Roman"/>
      <w:i/>
      <w:iCs/>
      <w:color w:val="595959"/>
    </w:rPr>
  </w:style>
  <w:style w:type="character" w:customStyle="1" w:styleId="Heading7Char">
    <w:name w:val="Heading 7 Char"/>
    <w:link w:val="Heading7"/>
    <w:uiPriority w:val="9"/>
    <w:semiHidden/>
    <w:rsid w:val="007453FB"/>
    <w:rPr>
      <w:rFonts w:eastAsia="Times New Roman" w:cs="Times New Roman"/>
      <w:color w:val="595959"/>
    </w:rPr>
  </w:style>
  <w:style w:type="character" w:customStyle="1" w:styleId="Heading8Char">
    <w:name w:val="Heading 8 Char"/>
    <w:link w:val="Heading8"/>
    <w:uiPriority w:val="9"/>
    <w:semiHidden/>
    <w:rsid w:val="007453FB"/>
    <w:rPr>
      <w:rFonts w:eastAsia="Times New Roman" w:cs="Times New Roman"/>
      <w:i/>
      <w:iCs/>
      <w:color w:val="272727"/>
    </w:rPr>
  </w:style>
  <w:style w:type="character" w:customStyle="1" w:styleId="Heading9Char">
    <w:name w:val="Heading 9 Char"/>
    <w:link w:val="Heading9"/>
    <w:uiPriority w:val="9"/>
    <w:semiHidden/>
    <w:rsid w:val="007453FB"/>
    <w:rPr>
      <w:rFonts w:eastAsia="Times New Roman" w:cs="Times New Roman"/>
      <w:color w:val="272727"/>
    </w:rPr>
  </w:style>
  <w:style w:type="paragraph" w:styleId="Title">
    <w:name w:val="Title"/>
    <w:basedOn w:val="Normal"/>
    <w:next w:val="Normal"/>
    <w:link w:val="TitleChar"/>
    <w:uiPriority w:val="10"/>
    <w:qFormat/>
    <w:rsid w:val="007453F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453F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53FB"/>
    <w:pPr>
      <w:numPr>
        <w:ilvl w:val="1"/>
      </w:numPr>
    </w:pPr>
    <w:rPr>
      <w:rFonts w:eastAsia="Times New Roman"/>
      <w:color w:val="595959"/>
      <w:spacing w:val="15"/>
      <w:sz w:val="28"/>
      <w:szCs w:val="28"/>
    </w:rPr>
  </w:style>
  <w:style w:type="character" w:customStyle="1" w:styleId="SubtitleChar">
    <w:name w:val="Subtitle Char"/>
    <w:link w:val="Subtitle"/>
    <w:uiPriority w:val="11"/>
    <w:rsid w:val="007453FB"/>
    <w:rPr>
      <w:rFonts w:eastAsia="Times New Roman" w:cs="Times New Roman"/>
      <w:color w:val="595959"/>
      <w:spacing w:val="15"/>
      <w:sz w:val="28"/>
      <w:szCs w:val="28"/>
    </w:rPr>
  </w:style>
  <w:style w:type="paragraph" w:styleId="Quote">
    <w:name w:val="Quote"/>
    <w:basedOn w:val="Normal"/>
    <w:next w:val="Normal"/>
    <w:link w:val="QuoteChar"/>
    <w:uiPriority w:val="29"/>
    <w:qFormat/>
    <w:rsid w:val="007453FB"/>
    <w:pPr>
      <w:spacing w:before="160"/>
      <w:jc w:val="center"/>
    </w:pPr>
    <w:rPr>
      <w:i/>
      <w:iCs/>
      <w:color w:val="404040"/>
    </w:rPr>
  </w:style>
  <w:style w:type="character" w:customStyle="1" w:styleId="QuoteChar">
    <w:name w:val="Quote Char"/>
    <w:link w:val="Quote"/>
    <w:uiPriority w:val="29"/>
    <w:rsid w:val="007453FB"/>
    <w:rPr>
      <w:i/>
      <w:iCs/>
      <w:color w:val="404040"/>
    </w:rPr>
  </w:style>
  <w:style w:type="paragraph" w:styleId="ListParagraph">
    <w:name w:val="List Paragraph"/>
    <w:basedOn w:val="Normal"/>
    <w:uiPriority w:val="34"/>
    <w:qFormat/>
    <w:rsid w:val="007453FB"/>
    <w:pPr>
      <w:ind w:left="720"/>
      <w:contextualSpacing/>
    </w:pPr>
  </w:style>
  <w:style w:type="character" w:styleId="IntenseEmphasis">
    <w:name w:val="Intense Emphasis"/>
    <w:uiPriority w:val="21"/>
    <w:qFormat/>
    <w:rsid w:val="007453FB"/>
    <w:rPr>
      <w:i/>
      <w:iCs/>
      <w:color w:val="0F4761"/>
    </w:rPr>
  </w:style>
  <w:style w:type="paragraph" w:styleId="IntenseQuote">
    <w:name w:val="Intense Quote"/>
    <w:basedOn w:val="Normal"/>
    <w:next w:val="Normal"/>
    <w:link w:val="IntenseQuoteChar"/>
    <w:uiPriority w:val="30"/>
    <w:qFormat/>
    <w:rsid w:val="007453F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53FB"/>
    <w:rPr>
      <w:i/>
      <w:iCs/>
      <w:color w:val="0F4761"/>
    </w:rPr>
  </w:style>
  <w:style w:type="character" w:styleId="IntenseReference">
    <w:name w:val="Intense Reference"/>
    <w:uiPriority w:val="32"/>
    <w:qFormat/>
    <w:rsid w:val="007453FB"/>
    <w:rPr>
      <w:b/>
      <w:bCs/>
      <w:smallCaps/>
      <w:color w:val="0F4761"/>
      <w:spacing w:val="5"/>
    </w:rPr>
  </w:style>
  <w:style w:type="paragraph" w:styleId="Header">
    <w:name w:val="header"/>
    <w:basedOn w:val="Normal"/>
    <w:link w:val="HeaderChar"/>
    <w:uiPriority w:val="99"/>
    <w:unhideWhenUsed/>
    <w:rsid w:val="00745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3FB"/>
  </w:style>
  <w:style w:type="paragraph" w:styleId="Footer">
    <w:name w:val="footer"/>
    <w:basedOn w:val="Normal"/>
    <w:link w:val="FooterChar"/>
    <w:uiPriority w:val="99"/>
    <w:unhideWhenUsed/>
    <w:rsid w:val="00745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3FB"/>
  </w:style>
  <w:style w:type="paragraph" w:styleId="Revision">
    <w:name w:val="Revision"/>
    <w:hidden/>
    <w:uiPriority w:val="99"/>
    <w:semiHidden/>
    <w:rsid w:val="00AB57AD"/>
    <w:rPr>
      <w:kern w:val="2"/>
      <w:sz w:val="22"/>
      <w:szCs w:val="22"/>
      <w:lang w:eastAsia="en-US"/>
    </w:rPr>
  </w:style>
  <w:style w:type="character" w:styleId="CommentReference">
    <w:name w:val="annotation reference"/>
    <w:uiPriority w:val="99"/>
    <w:semiHidden/>
    <w:unhideWhenUsed/>
    <w:rsid w:val="00AB57AD"/>
    <w:rPr>
      <w:sz w:val="16"/>
      <w:szCs w:val="16"/>
    </w:rPr>
  </w:style>
  <w:style w:type="paragraph" w:styleId="CommentText">
    <w:name w:val="annotation text"/>
    <w:basedOn w:val="Normal"/>
    <w:link w:val="CommentTextChar"/>
    <w:uiPriority w:val="99"/>
    <w:unhideWhenUsed/>
    <w:rsid w:val="00AB57AD"/>
    <w:pPr>
      <w:spacing w:line="240" w:lineRule="auto"/>
    </w:pPr>
    <w:rPr>
      <w:sz w:val="20"/>
      <w:szCs w:val="20"/>
    </w:rPr>
  </w:style>
  <w:style w:type="character" w:customStyle="1" w:styleId="CommentTextChar">
    <w:name w:val="Comment Text Char"/>
    <w:link w:val="CommentText"/>
    <w:uiPriority w:val="99"/>
    <w:rsid w:val="00AB57AD"/>
    <w:rPr>
      <w:sz w:val="20"/>
      <w:szCs w:val="20"/>
    </w:rPr>
  </w:style>
  <w:style w:type="paragraph" w:styleId="CommentSubject">
    <w:name w:val="annotation subject"/>
    <w:basedOn w:val="CommentText"/>
    <w:next w:val="CommentText"/>
    <w:link w:val="CommentSubjectChar"/>
    <w:uiPriority w:val="99"/>
    <w:semiHidden/>
    <w:unhideWhenUsed/>
    <w:rsid w:val="00AB57AD"/>
    <w:rPr>
      <w:b/>
      <w:bCs/>
    </w:rPr>
  </w:style>
  <w:style w:type="character" w:customStyle="1" w:styleId="CommentSubjectChar">
    <w:name w:val="Comment Subject Char"/>
    <w:link w:val="CommentSubject"/>
    <w:uiPriority w:val="99"/>
    <w:semiHidden/>
    <w:rsid w:val="00AB5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40411">
      <w:bodyDiv w:val="1"/>
      <w:marLeft w:val="0"/>
      <w:marRight w:val="0"/>
      <w:marTop w:val="0"/>
      <w:marBottom w:val="0"/>
      <w:divBdr>
        <w:top w:val="none" w:sz="0" w:space="0" w:color="auto"/>
        <w:left w:val="none" w:sz="0" w:space="0" w:color="auto"/>
        <w:bottom w:val="none" w:sz="0" w:space="0" w:color="auto"/>
        <w:right w:val="none" w:sz="0" w:space="0" w:color="auto"/>
      </w:divBdr>
      <w:divsChild>
        <w:div w:id="705301528">
          <w:marLeft w:val="0"/>
          <w:marRight w:val="0"/>
          <w:marTop w:val="0"/>
          <w:marBottom w:val="0"/>
          <w:divBdr>
            <w:top w:val="none" w:sz="0" w:space="0" w:color="auto"/>
            <w:left w:val="none" w:sz="0" w:space="0" w:color="auto"/>
            <w:bottom w:val="none" w:sz="0" w:space="0" w:color="auto"/>
            <w:right w:val="none" w:sz="0" w:space="0" w:color="auto"/>
          </w:divBdr>
          <w:divsChild>
            <w:div w:id="1696732729">
              <w:marLeft w:val="0"/>
              <w:marRight w:val="0"/>
              <w:marTop w:val="0"/>
              <w:marBottom w:val="0"/>
              <w:divBdr>
                <w:top w:val="none" w:sz="0" w:space="0" w:color="auto"/>
                <w:left w:val="none" w:sz="0" w:space="0" w:color="auto"/>
                <w:bottom w:val="none" w:sz="0" w:space="0" w:color="auto"/>
                <w:right w:val="none" w:sz="0" w:space="0" w:color="auto"/>
              </w:divBdr>
              <w:divsChild>
                <w:div w:id="1402022274">
                  <w:marLeft w:val="0"/>
                  <w:marRight w:val="0"/>
                  <w:marTop w:val="0"/>
                  <w:marBottom w:val="0"/>
                  <w:divBdr>
                    <w:top w:val="none" w:sz="0" w:space="0" w:color="auto"/>
                    <w:left w:val="none" w:sz="0" w:space="0" w:color="auto"/>
                    <w:bottom w:val="none" w:sz="0" w:space="0" w:color="auto"/>
                    <w:right w:val="none" w:sz="0" w:space="0" w:color="auto"/>
                  </w:divBdr>
                  <w:divsChild>
                    <w:div w:id="1640988323">
                      <w:marLeft w:val="0"/>
                      <w:marRight w:val="0"/>
                      <w:marTop w:val="0"/>
                      <w:marBottom w:val="0"/>
                      <w:divBdr>
                        <w:top w:val="none" w:sz="0" w:space="0" w:color="auto"/>
                        <w:left w:val="none" w:sz="0" w:space="0" w:color="auto"/>
                        <w:bottom w:val="none" w:sz="0" w:space="0" w:color="auto"/>
                        <w:right w:val="none" w:sz="0" w:space="0" w:color="auto"/>
                      </w:divBdr>
                      <w:divsChild>
                        <w:div w:id="1929271368">
                          <w:marLeft w:val="0"/>
                          <w:marRight w:val="0"/>
                          <w:marTop w:val="0"/>
                          <w:marBottom w:val="0"/>
                          <w:divBdr>
                            <w:top w:val="none" w:sz="0" w:space="0" w:color="auto"/>
                            <w:left w:val="none" w:sz="0" w:space="0" w:color="auto"/>
                            <w:bottom w:val="none" w:sz="0" w:space="0" w:color="auto"/>
                            <w:right w:val="none" w:sz="0" w:space="0" w:color="auto"/>
                          </w:divBdr>
                          <w:divsChild>
                            <w:div w:id="376323610">
                              <w:marLeft w:val="0"/>
                              <w:marRight w:val="0"/>
                              <w:marTop w:val="0"/>
                              <w:marBottom w:val="0"/>
                              <w:divBdr>
                                <w:top w:val="none" w:sz="0" w:space="0" w:color="auto"/>
                                <w:left w:val="none" w:sz="0" w:space="0" w:color="auto"/>
                                <w:bottom w:val="none" w:sz="0" w:space="0" w:color="auto"/>
                                <w:right w:val="none" w:sz="0" w:space="0" w:color="auto"/>
                              </w:divBdr>
                              <w:divsChild>
                                <w:div w:id="1090543259">
                                  <w:marLeft w:val="0"/>
                                  <w:marRight w:val="0"/>
                                  <w:marTop w:val="0"/>
                                  <w:marBottom w:val="0"/>
                                  <w:divBdr>
                                    <w:top w:val="none" w:sz="0" w:space="0" w:color="auto"/>
                                    <w:left w:val="none" w:sz="0" w:space="0" w:color="auto"/>
                                    <w:bottom w:val="none" w:sz="0" w:space="0" w:color="auto"/>
                                    <w:right w:val="none" w:sz="0" w:space="0" w:color="auto"/>
                                  </w:divBdr>
                                  <w:divsChild>
                                    <w:div w:id="112214466">
                                      <w:marLeft w:val="0"/>
                                      <w:marRight w:val="0"/>
                                      <w:marTop w:val="0"/>
                                      <w:marBottom w:val="0"/>
                                      <w:divBdr>
                                        <w:top w:val="none" w:sz="0" w:space="0" w:color="auto"/>
                                        <w:left w:val="none" w:sz="0" w:space="0" w:color="auto"/>
                                        <w:bottom w:val="none" w:sz="0" w:space="0" w:color="auto"/>
                                        <w:right w:val="none" w:sz="0" w:space="0" w:color="auto"/>
                                      </w:divBdr>
                                    </w:div>
                                    <w:div w:id="1458143124">
                                      <w:marLeft w:val="0"/>
                                      <w:marRight w:val="0"/>
                                      <w:marTop w:val="0"/>
                                      <w:marBottom w:val="0"/>
                                      <w:divBdr>
                                        <w:top w:val="none" w:sz="0" w:space="0" w:color="auto"/>
                                        <w:left w:val="none" w:sz="0" w:space="0" w:color="auto"/>
                                        <w:bottom w:val="none" w:sz="0" w:space="0" w:color="auto"/>
                                        <w:right w:val="none" w:sz="0" w:space="0" w:color="auto"/>
                                      </w:divBdr>
                                      <w:divsChild>
                                        <w:div w:id="601038262">
                                          <w:marLeft w:val="0"/>
                                          <w:marRight w:val="0"/>
                                          <w:marTop w:val="0"/>
                                          <w:marBottom w:val="0"/>
                                          <w:divBdr>
                                            <w:top w:val="none" w:sz="0" w:space="0" w:color="auto"/>
                                            <w:left w:val="none" w:sz="0" w:space="0" w:color="auto"/>
                                            <w:bottom w:val="none" w:sz="0" w:space="0" w:color="auto"/>
                                            <w:right w:val="none" w:sz="0" w:space="0" w:color="auto"/>
                                          </w:divBdr>
                                          <w:divsChild>
                                            <w:div w:id="1913159543">
                                              <w:marLeft w:val="0"/>
                                              <w:marRight w:val="0"/>
                                              <w:marTop w:val="0"/>
                                              <w:marBottom w:val="0"/>
                                              <w:divBdr>
                                                <w:top w:val="none" w:sz="0" w:space="0" w:color="auto"/>
                                                <w:left w:val="none" w:sz="0" w:space="0" w:color="auto"/>
                                                <w:bottom w:val="none" w:sz="0" w:space="0" w:color="auto"/>
                                                <w:right w:val="none" w:sz="0" w:space="0" w:color="auto"/>
                                              </w:divBdr>
                                              <w:divsChild>
                                                <w:div w:id="14655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437949">
          <w:marLeft w:val="0"/>
          <w:marRight w:val="0"/>
          <w:marTop w:val="0"/>
          <w:marBottom w:val="0"/>
          <w:divBdr>
            <w:top w:val="none" w:sz="0" w:space="0" w:color="auto"/>
            <w:left w:val="none" w:sz="0" w:space="0" w:color="auto"/>
            <w:bottom w:val="none" w:sz="0" w:space="0" w:color="auto"/>
            <w:right w:val="none" w:sz="0" w:space="0" w:color="auto"/>
          </w:divBdr>
          <w:divsChild>
            <w:div w:id="1202789481">
              <w:marLeft w:val="0"/>
              <w:marRight w:val="0"/>
              <w:marTop w:val="0"/>
              <w:marBottom w:val="0"/>
              <w:divBdr>
                <w:top w:val="none" w:sz="0" w:space="0" w:color="auto"/>
                <w:left w:val="none" w:sz="0" w:space="0" w:color="auto"/>
                <w:bottom w:val="none" w:sz="0" w:space="0" w:color="auto"/>
                <w:right w:val="none" w:sz="0" w:space="0" w:color="auto"/>
              </w:divBdr>
              <w:divsChild>
                <w:div w:id="2013100322">
                  <w:marLeft w:val="0"/>
                  <w:marRight w:val="0"/>
                  <w:marTop w:val="0"/>
                  <w:marBottom w:val="0"/>
                  <w:divBdr>
                    <w:top w:val="none" w:sz="0" w:space="0" w:color="auto"/>
                    <w:left w:val="none" w:sz="0" w:space="0" w:color="auto"/>
                    <w:bottom w:val="none" w:sz="0" w:space="0" w:color="auto"/>
                    <w:right w:val="none" w:sz="0" w:space="0" w:color="auto"/>
                  </w:divBdr>
                  <w:divsChild>
                    <w:div w:id="1281688186">
                      <w:marLeft w:val="0"/>
                      <w:marRight w:val="0"/>
                      <w:marTop w:val="0"/>
                      <w:marBottom w:val="0"/>
                      <w:divBdr>
                        <w:top w:val="none" w:sz="0" w:space="0" w:color="auto"/>
                        <w:left w:val="none" w:sz="0" w:space="0" w:color="auto"/>
                        <w:bottom w:val="none" w:sz="0" w:space="0" w:color="auto"/>
                        <w:right w:val="none" w:sz="0" w:space="0" w:color="auto"/>
                      </w:divBdr>
                      <w:divsChild>
                        <w:div w:id="1984117713">
                          <w:marLeft w:val="0"/>
                          <w:marRight w:val="0"/>
                          <w:marTop w:val="0"/>
                          <w:marBottom w:val="0"/>
                          <w:divBdr>
                            <w:top w:val="none" w:sz="0" w:space="0" w:color="auto"/>
                            <w:left w:val="none" w:sz="0" w:space="0" w:color="auto"/>
                            <w:bottom w:val="none" w:sz="0" w:space="0" w:color="auto"/>
                            <w:right w:val="none" w:sz="0" w:space="0" w:color="auto"/>
                          </w:divBdr>
                          <w:divsChild>
                            <w:div w:id="172302905">
                              <w:marLeft w:val="0"/>
                              <w:marRight w:val="0"/>
                              <w:marTop w:val="0"/>
                              <w:marBottom w:val="0"/>
                              <w:divBdr>
                                <w:top w:val="none" w:sz="0" w:space="0" w:color="auto"/>
                                <w:left w:val="none" w:sz="0" w:space="0" w:color="auto"/>
                                <w:bottom w:val="none" w:sz="0" w:space="0" w:color="auto"/>
                                <w:right w:val="none" w:sz="0" w:space="0" w:color="auto"/>
                              </w:divBdr>
                              <w:divsChild>
                                <w:div w:id="1754618806">
                                  <w:marLeft w:val="0"/>
                                  <w:marRight w:val="0"/>
                                  <w:marTop w:val="0"/>
                                  <w:marBottom w:val="0"/>
                                  <w:divBdr>
                                    <w:top w:val="none" w:sz="0" w:space="0" w:color="auto"/>
                                    <w:left w:val="none" w:sz="0" w:space="0" w:color="auto"/>
                                    <w:bottom w:val="none" w:sz="0" w:space="0" w:color="auto"/>
                                    <w:right w:val="none" w:sz="0" w:space="0" w:color="auto"/>
                                  </w:divBdr>
                                  <w:divsChild>
                                    <w:div w:id="131600104">
                                      <w:marLeft w:val="0"/>
                                      <w:marRight w:val="0"/>
                                      <w:marTop w:val="0"/>
                                      <w:marBottom w:val="0"/>
                                      <w:divBdr>
                                        <w:top w:val="none" w:sz="0" w:space="0" w:color="auto"/>
                                        <w:left w:val="none" w:sz="0" w:space="0" w:color="auto"/>
                                        <w:bottom w:val="none" w:sz="0" w:space="0" w:color="auto"/>
                                        <w:right w:val="none" w:sz="0" w:space="0" w:color="auto"/>
                                      </w:divBdr>
                                      <w:divsChild>
                                        <w:div w:id="23334973">
                                          <w:marLeft w:val="0"/>
                                          <w:marRight w:val="0"/>
                                          <w:marTop w:val="0"/>
                                          <w:marBottom w:val="0"/>
                                          <w:divBdr>
                                            <w:top w:val="none" w:sz="0" w:space="0" w:color="auto"/>
                                            <w:left w:val="none" w:sz="0" w:space="0" w:color="auto"/>
                                            <w:bottom w:val="none" w:sz="0" w:space="0" w:color="auto"/>
                                            <w:right w:val="none" w:sz="0" w:space="0" w:color="auto"/>
                                          </w:divBdr>
                                          <w:divsChild>
                                            <w:div w:id="21208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294355">
      <w:bodyDiv w:val="1"/>
      <w:marLeft w:val="0"/>
      <w:marRight w:val="0"/>
      <w:marTop w:val="0"/>
      <w:marBottom w:val="0"/>
      <w:divBdr>
        <w:top w:val="none" w:sz="0" w:space="0" w:color="auto"/>
        <w:left w:val="none" w:sz="0" w:space="0" w:color="auto"/>
        <w:bottom w:val="none" w:sz="0" w:space="0" w:color="auto"/>
        <w:right w:val="none" w:sz="0" w:space="0" w:color="auto"/>
      </w:divBdr>
    </w:div>
    <w:div w:id="456530832">
      <w:bodyDiv w:val="1"/>
      <w:marLeft w:val="0"/>
      <w:marRight w:val="0"/>
      <w:marTop w:val="0"/>
      <w:marBottom w:val="0"/>
      <w:divBdr>
        <w:top w:val="none" w:sz="0" w:space="0" w:color="auto"/>
        <w:left w:val="none" w:sz="0" w:space="0" w:color="auto"/>
        <w:bottom w:val="none" w:sz="0" w:space="0" w:color="auto"/>
        <w:right w:val="none" w:sz="0" w:space="0" w:color="auto"/>
      </w:divBdr>
    </w:div>
    <w:div w:id="507642613">
      <w:bodyDiv w:val="1"/>
      <w:marLeft w:val="0"/>
      <w:marRight w:val="0"/>
      <w:marTop w:val="0"/>
      <w:marBottom w:val="0"/>
      <w:divBdr>
        <w:top w:val="none" w:sz="0" w:space="0" w:color="auto"/>
        <w:left w:val="none" w:sz="0" w:space="0" w:color="auto"/>
        <w:bottom w:val="none" w:sz="0" w:space="0" w:color="auto"/>
        <w:right w:val="none" w:sz="0" w:space="0" w:color="auto"/>
      </w:divBdr>
    </w:div>
    <w:div w:id="589654951">
      <w:bodyDiv w:val="1"/>
      <w:marLeft w:val="0"/>
      <w:marRight w:val="0"/>
      <w:marTop w:val="0"/>
      <w:marBottom w:val="0"/>
      <w:divBdr>
        <w:top w:val="none" w:sz="0" w:space="0" w:color="auto"/>
        <w:left w:val="none" w:sz="0" w:space="0" w:color="auto"/>
        <w:bottom w:val="none" w:sz="0" w:space="0" w:color="auto"/>
        <w:right w:val="none" w:sz="0" w:space="0" w:color="auto"/>
      </w:divBdr>
      <w:divsChild>
        <w:div w:id="288056138">
          <w:marLeft w:val="0"/>
          <w:marRight w:val="0"/>
          <w:marTop w:val="0"/>
          <w:marBottom w:val="0"/>
          <w:divBdr>
            <w:top w:val="none" w:sz="0" w:space="0" w:color="auto"/>
            <w:left w:val="none" w:sz="0" w:space="0" w:color="auto"/>
            <w:bottom w:val="none" w:sz="0" w:space="0" w:color="auto"/>
            <w:right w:val="none" w:sz="0" w:space="0" w:color="auto"/>
          </w:divBdr>
          <w:divsChild>
            <w:div w:id="1364012759">
              <w:marLeft w:val="0"/>
              <w:marRight w:val="0"/>
              <w:marTop w:val="0"/>
              <w:marBottom w:val="0"/>
              <w:divBdr>
                <w:top w:val="none" w:sz="0" w:space="0" w:color="auto"/>
                <w:left w:val="none" w:sz="0" w:space="0" w:color="auto"/>
                <w:bottom w:val="none" w:sz="0" w:space="0" w:color="auto"/>
                <w:right w:val="none" w:sz="0" w:space="0" w:color="auto"/>
              </w:divBdr>
              <w:divsChild>
                <w:div w:id="1271932492">
                  <w:marLeft w:val="0"/>
                  <w:marRight w:val="0"/>
                  <w:marTop w:val="0"/>
                  <w:marBottom w:val="0"/>
                  <w:divBdr>
                    <w:top w:val="none" w:sz="0" w:space="0" w:color="auto"/>
                    <w:left w:val="none" w:sz="0" w:space="0" w:color="auto"/>
                    <w:bottom w:val="none" w:sz="0" w:space="0" w:color="auto"/>
                    <w:right w:val="none" w:sz="0" w:space="0" w:color="auto"/>
                  </w:divBdr>
                  <w:divsChild>
                    <w:div w:id="309359442">
                      <w:marLeft w:val="0"/>
                      <w:marRight w:val="0"/>
                      <w:marTop w:val="0"/>
                      <w:marBottom w:val="0"/>
                      <w:divBdr>
                        <w:top w:val="none" w:sz="0" w:space="0" w:color="auto"/>
                        <w:left w:val="none" w:sz="0" w:space="0" w:color="auto"/>
                        <w:bottom w:val="none" w:sz="0" w:space="0" w:color="auto"/>
                        <w:right w:val="none" w:sz="0" w:space="0" w:color="auto"/>
                      </w:divBdr>
                      <w:divsChild>
                        <w:div w:id="1253590588">
                          <w:marLeft w:val="0"/>
                          <w:marRight w:val="0"/>
                          <w:marTop w:val="0"/>
                          <w:marBottom w:val="0"/>
                          <w:divBdr>
                            <w:top w:val="none" w:sz="0" w:space="0" w:color="auto"/>
                            <w:left w:val="none" w:sz="0" w:space="0" w:color="auto"/>
                            <w:bottom w:val="none" w:sz="0" w:space="0" w:color="auto"/>
                            <w:right w:val="none" w:sz="0" w:space="0" w:color="auto"/>
                          </w:divBdr>
                          <w:divsChild>
                            <w:div w:id="1369911762">
                              <w:marLeft w:val="0"/>
                              <w:marRight w:val="0"/>
                              <w:marTop w:val="0"/>
                              <w:marBottom w:val="0"/>
                              <w:divBdr>
                                <w:top w:val="none" w:sz="0" w:space="0" w:color="auto"/>
                                <w:left w:val="none" w:sz="0" w:space="0" w:color="auto"/>
                                <w:bottom w:val="none" w:sz="0" w:space="0" w:color="auto"/>
                                <w:right w:val="none" w:sz="0" w:space="0" w:color="auto"/>
                              </w:divBdr>
                              <w:divsChild>
                                <w:div w:id="119155120">
                                  <w:marLeft w:val="0"/>
                                  <w:marRight w:val="0"/>
                                  <w:marTop w:val="0"/>
                                  <w:marBottom w:val="0"/>
                                  <w:divBdr>
                                    <w:top w:val="none" w:sz="0" w:space="0" w:color="auto"/>
                                    <w:left w:val="none" w:sz="0" w:space="0" w:color="auto"/>
                                    <w:bottom w:val="none" w:sz="0" w:space="0" w:color="auto"/>
                                    <w:right w:val="none" w:sz="0" w:space="0" w:color="auto"/>
                                  </w:divBdr>
                                  <w:divsChild>
                                    <w:div w:id="502864689">
                                      <w:marLeft w:val="0"/>
                                      <w:marRight w:val="0"/>
                                      <w:marTop w:val="0"/>
                                      <w:marBottom w:val="0"/>
                                      <w:divBdr>
                                        <w:top w:val="none" w:sz="0" w:space="0" w:color="auto"/>
                                        <w:left w:val="none" w:sz="0" w:space="0" w:color="auto"/>
                                        <w:bottom w:val="none" w:sz="0" w:space="0" w:color="auto"/>
                                        <w:right w:val="none" w:sz="0" w:space="0" w:color="auto"/>
                                      </w:divBdr>
                                      <w:divsChild>
                                        <w:div w:id="708993589">
                                          <w:marLeft w:val="0"/>
                                          <w:marRight w:val="0"/>
                                          <w:marTop w:val="0"/>
                                          <w:marBottom w:val="0"/>
                                          <w:divBdr>
                                            <w:top w:val="none" w:sz="0" w:space="0" w:color="auto"/>
                                            <w:left w:val="none" w:sz="0" w:space="0" w:color="auto"/>
                                            <w:bottom w:val="none" w:sz="0" w:space="0" w:color="auto"/>
                                            <w:right w:val="none" w:sz="0" w:space="0" w:color="auto"/>
                                          </w:divBdr>
                                          <w:divsChild>
                                            <w:div w:id="1585727908">
                                              <w:marLeft w:val="0"/>
                                              <w:marRight w:val="0"/>
                                              <w:marTop w:val="0"/>
                                              <w:marBottom w:val="0"/>
                                              <w:divBdr>
                                                <w:top w:val="none" w:sz="0" w:space="0" w:color="auto"/>
                                                <w:left w:val="none" w:sz="0" w:space="0" w:color="auto"/>
                                                <w:bottom w:val="none" w:sz="0" w:space="0" w:color="auto"/>
                                                <w:right w:val="none" w:sz="0" w:space="0" w:color="auto"/>
                                              </w:divBdr>
                                              <w:divsChild>
                                                <w:div w:id="19889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23128">
          <w:marLeft w:val="0"/>
          <w:marRight w:val="0"/>
          <w:marTop w:val="0"/>
          <w:marBottom w:val="0"/>
          <w:divBdr>
            <w:top w:val="none" w:sz="0" w:space="0" w:color="auto"/>
            <w:left w:val="none" w:sz="0" w:space="0" w:color="auto"/>
            <w:bottom w:val="none" w:sz="0" w:space="0" w:color="auto"/>
            <w:right w:val="none" w:sz="0" w:space="0" w:color="auto"/>
          </w:divBdr>
          <w:divsChild>
            <w:div w:id="1101798381">
              <w:marLeft w:val="0"/>
              <w:marRight w:val="0"/>
              <w:marTop w:val="0"/>
              <w:marBottom w:val="0"/>
              <w:divBdr>
                <w:top w:val="none" w:sz="0" w:space="0" w:color="auto"/>
                <w:left w:val="none" w:sz="0" w:space="0" w:color="auto"/>
                <w:bottom w:val="none" w:sz="0" w:space="0" w:color="auto"/>
                <w:right w:val="none" w:sz="0" w:space="0" w:color="auto"/>
              </w:divBdr>
              <w:divsChild>
                <w:div w:id="9533650">
                  <w:marLeft w:val="0"/>
                  <w:marRight w:val="0"/>
                  <w:marTop w:val="0"/>
                  <w:marBottom w:val="0"/>
                  <w:divBdr>
                    <w:top w:val="none" w:sz="0" w:space="0" w:color="auto"/>
                    <w:left w:val="none" w:sz="0" w:space="0" w:color="auto"/>
                    <w:bottom w:val="none" w:sz="0" w:space="0" w:color="auto"/>
                    <w:right w:val="none" w:sz="0" w:space="0" w:color="auto"/>
                  </w:divBdr>
                  <w:divsChild>
                    <w:div w:id="1418862184">
                      <w:marLeft w:val="0"/>
                      <w:marRight w:val="0"/>
                      <w:marTop w:val="0"/>
                      <w:marBottom w:val="0"/>
                      <w:divBdr>
                        <w:top w:val="none" w:sz="0" w:space="0" w:color="auto"/>
                        <w:left w:val="none" w:sz="0" w:space="0" w:color="auto"/>
                        <w:bottom w:val="none" w:sz="0" w:space="0" w:color="auto"/>
                        <w:right w:val="none" w:sz="0" w:space="0" w:color="auto"/>
                      </w:divBdr>
                      <w:divsChild>
                        <w:div w:id="535238850">
                          <w:marLeft w:val="0"/>
                          <w:marRight w:val="0"/>
                          <w:marTop w:val="0"/>
                          <w:marBottom w:val="0"/>
                          <w:divBdr>
                            <w:top w:val="none" w:sz="0" w:space="0" w:color="auto"/>
                            <w:left w:val="none" w:sz="0" w:space="0" w:color="auto"/>
                            <w:bottom w:val="none" w:sz="0" w:space="0" w:color="auto"/>
                            <w:right w:val="none" w:sz="0" w:space="0" w:color="auto"/>
                          </w:divBdr>
                          <w:divsChild>
                            <w:div w:id="358236953">
                              <w:marLeft w:val="0"/>
                              <w:marRight w:val="0"/>
                              <w:marTop w:val="0"/>
                              <w:marBottom w:val="0"/>
                              <w:divBdr>
                                <w:top w:val="none" w:sz="0" w:space="0" w:color="auto"/>
                                <w:left w:val="none" w:sz="0" w:space="0" w:color="auto"/>
                                <w:bottom w:val="none" w:sz="0" w:space="0" w:color="auto"/>
                                <w:right w:val="none" w:sz="0" w:space="0" w:color="auto"/>
                              </w:divBdr>
                              <w:divsChild>
                                <w:div w:id="1586841769">
                                  <w:marLeft w:val="0"/>
                                  <w:marRight w:val="0"/>
                                  <w:marTop w:val="0"/>
                                  <w:marBottom w:val="0"/>
                                  <w:divBdr>
                                    <w:top w:val="none" w:sz="0" w:space="0" w:color="auto"/>
                                    <w:left w:val="none" w:sz="0" w:space="0" w:color="auto"/>
                                    <w:bottom w:val="none" w:sz="0" w:space="0" w:color="auto"/>
                                    <w:right w:val="none" w:sz="0" w:space="0" w:color="auto"/>
                                  </w:divBdr>
                                  <w:divsChild>
                                    <w:div w:id="245651424">
                                      <w:marLeft w:val="0"/>
                                      <w:marRight w:val="0"/>
                                      <w:marTop w:val="0"/>
                                      <w:marBottom w:val="0"/>
                                      <w:divBdr>
                                        <w:top w:val="none" w:sz="0" w:space="0" w:color="auto"/>
                                        <w:left w:val="none" w:sz="0" w:space="0" w:color="auto"/>
                                        <w:bottom w:val="none" w:sz="0" w:space="0" w:color="auto"/>
                                        <w:right w:val="none" w:sz="0" w:space="0" w:color="auto"/>
                                      </w:divBdr>
                                      <w:divsChild>
                                        <w:div w:id="515119039">
                                          <w:marLeft w:val="0"/>
                                          <w:marRight w:val="0"/>
                                          <w:marTop w:val="0"/>
                                          <w:marBottom w:val="0"/>
                                          <w:divBdr>
                                            <w:top w:val="none" w:sz="0" w:space="0" w:color="auto"/>
                                            <w:left w:val="none" w:sz="0" w:space="0" w:color="auto"/>
                                            <w:bottom w:val="none" w:sz="0" w:space="0" w:color="auto"/>
                                            <w:right w:val="none" w:sz="0" w:space="0" w:color="auto"/>
                                          </w:divBdr>
                                          <w:divsChild>
                                            <w:div w:id="8780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690843">
      <w:bodyDiv w:val="1"/>
      <w:marLeft w:val="0"/>
      <w:marRight w:val="0"/>
      <w:marTop w:val="0"/>
      <w:marBottom w:val="0"/>
      <w:divBdr>
        <w:top w:val="none" w:sz="0" w:space="0" w:color="auto"/>
        <w:left w:val="none" w:sz="0" w:space="0" w:color="auto"/>
        <w:bottom w:val="none" w:sz="0" w:space="0" w:color="auto"/>
        <w:right w:val="none" w:sz="0" w:space="0" w:color="auto"/>
      </w:divBdr>
    </w:div>
    <w:div w:id="1263610957">
      <w:bodyDiv w:val="1"/>
      <w:marLeft w:val="0"/>
      <w:marRight w:val="0"/>
      <w:marTop w:val="0"/>
      <w:marBottom w:val="0"/>
      <w:divBdr>
        <w:top w:val="none" w:sz="0" w:space="0" w:color="auto"/>
        <w:left w:val="none" w:sz="0" w:space="0" w:color="auto"/>
        <w:bottom w:val="none" w:sz="0" w:space="0" w:color="auto"/>
        <w:right w:val="none" w:sz="0" w:space="0" w:color="auto"/>
      </w:divBdr>
    </w:div>
    <w:div w:id="1547716909">
      <w:bodyDiv w:val="1"/>
      <w:marLeft w:val="0"/>
      <w:marRight w:val="0"/>
      <w:marTop w:val="0"/>
      <w:marBottom w:val="0"/>
      <w:divBdr>
        <w:top w:val="none" w:sz="0" w:space="0" w:color="auto"/>
        <w:left w:val="none" w:sz="0" w:space="0" w:color="auto"/>
        <w:bottom w:val="none" w:sz="0" w:space="0" w:color="auto"/>
        <w:right w:val="none" w:sz="0" w:space="0" w:color="auto"/>
      </w:divBdr>
    </w:div>
    <w:div w:id="1648850744">
      <w:bodyDiv w:val="1"/>
      <w:marLeft w:val="0"/>
      <w:marRight w:val="0"/>
      <w:marTop w:val="0"/>
      <w:marBottom w:val="0"/>
      <w:divBdr>
        <w:top w:val="none" w:sz="0" w:space="0" w:color="auto"/>
        <w:left w:val="none" w:sz="0" w:space="0" w:color="auto"/>
        <w:bottom w:val="none" w:sz="0" w:space="0" w:color="auto"/>
        <w:right w:val="none" w:sz="0" w:space="0" w:color="auto"/>
      </w:divBdr>
    </w:div>
    <w:div w:id="17225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La Grange</dc:creator>
  <cp:keywords/>
  <dc:description/>
  <cp:lastModifiedBy>Katy La Grange</cp:lastModifiedBy>
  <cp:revision>15</cp:revision>
  <dcterms:created xsi:type="dcterms:W3CDTF">2025-09-11T08:25:00Z</dcterms:created>
  <dcterms:modified xsi:type="dcterms:W3CDTF">2025-09-11T08:59:00Z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79fcee29-2721-4128-8346-c3eea8fba6ec</vt:lpwstr>
  </property>
</Properties>
</file>